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Comprehensive Strategic Framework for Article 12 Operational Maturity: The ResistanceZero Pro and Executive Enhancement Roadmap</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global data center landscape is undergoing a fundamental transformation driven by the dual pressures of environmental sustainability and the rapid deployment of artificial intelligence. At the heart of this transition lies the regulatory concept of "Article 12," a designation that appears independently within the European Union's Energy Efficiency Directive (EED) and the EU AI Act.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These frameworks collectively mandate a level of transparency, record-keeping, and operational efficiency that traditional management systems are ill-equipped to handle. For organizations navigating this complexity, the ResistanceZero platform serves as a critical diagnostic and strategic engine. Transitioning the current "free-mode" maturity calculator into a "Pro and Executive" analytical suite is not merely a user interface upgrade; it represents the creation of a high-fidelity decision-support system capable of translating granular engineering telemetry into boardroom-level financial and regulatory strategy.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Regulatory Genesis of Article 12: A Convergent Mandate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designation of Article 12 across two major legislative instruments signifies a shift from voluntary industry standards to mandatory legal requirements. Within the recast Energy Efficiency Directive (Directive (EU) 2023/1791), Article 12 introduces an obligation for data center operators with an installed information technology (IT) power demand of at least 500 kW to monitor and publish information regarding their energy performance and sustainability.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data is used to populate a common Union-wide database, fostering transparency and allowing for the eventual establishment of minimum performance standards and a labeling scheme.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Simultaneously, Article 12 of the EU AI Act mandates that providers of high-risk AI systems implement automatic event recording—logs—throughout the system's lifetime.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is intended to ensure a level of traceability appropriate to the intended purpose of the AI, facilitating post-market monitoring and human oversight.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 convergence of these two mandates creates a unique operational nexus: the data center of the future must be as accountable for its carbon footprint as it is for the integrity of the algorithms it hosts.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1: The Dual Nature of Article 12 Compliance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Regulatory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Compliance Threshold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Enforcement Timeline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EED Article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Disclosure of PUE, WUE, and Energy Usage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Pr>
              <w:drawing>
                <wp:inline distB="19050" distT="19050" distL="19050" distR="19050">
                  <wp:extent cx="438348" cy="193389"/>
                  <wp:effectExtent b="0" l="0" r="0" t="0"/>
                  <wp:docPr id="31"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438348" cy="193389"/>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kW IT Power Demand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First reporting Sept 2024; Annual May 15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 Act Article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Automatic Event Logging and Record-Keeping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All High-Risk AI Systems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General application by August 2026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bl>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 Mode enhancement of the ResistanceZero calculator must address this convergence by synthesizing environmental telemetry with governance metrics. This creates a multi-dimensional maturity model where a "Level 5" facility demonstrates not only world-class PUE (Power Usage Effectiveness) but also audit-ready algorithmic traceability.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Dimension 1: Financial Precision and the ROI of Maturity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from a reactive to a proactive operational state is primarily a financial decision. Executives at the C-level (CEO, CFO, CTO) require a narrative that frames maturity in terms of risk mitigation and value creation.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The "Pro Mode" framework moves beyond simple CAPEX/OPEX snapshots to implement a probabilistic financial model.</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Cost of Operational Immaturity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Operational immaturity manifests as high variance in budget forecasting, frequent unforced errors, and elevated insurance premiums due to a poor risk profile.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Research indicates that organizations with low operational maturity suffer profit reductions of up to 7% due to delayed leadership development and inefficient processes.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Furthermore, the "cost of immaturity" in the context of cyber-physical systems can be quantified through the lens of data breach impacts, which average $3.8 million per incident.</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 Mode analytical engine evaluates this through the Annual Loss Expectancy (ALE) formula:</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2957"/>
            <wp:effectExtent b="0" l="0" r="0" t="0"/>
            <wp:docPr id="33"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905500" cy="322957"/>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Where </w:t>
      </w:r>
      <w:r w:rsidDel="00000000" w:rsidR="00000000" w:rsidRPr="00000000">
        <w:rPr>
          <w:rFonts w:ascii="Google Sans Text" w:cs="Google Sans Text" w:eastAsia="Google Sans Text" w:hAnsi="Google Sans Text"/>
          <w:color w:val="1f1f1f"/>
        </w:rPr>
        <w:drawing>
          <wp:inline distB="19050" distT="19050" distL="19050" distR="19050">
            <wp:extent cx="402034" cy="233439"/>
            <wp:effectExtent b="0" l="0" r="0" t="0"/>
            <wp:docPr id="32"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402034" cy="23343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the Single Loss Expectancy (the monetary impact of one failure) and </w:t>
      </w:r>
      <w:r w:rsidDel="00000000" w:rsidR="00000000" w:rsidRPr="00000000">
        <w:rPr>
          <w:rFonts w:ascii="Google Sans Text" w:cs="Google Sans Text" w:eastAsia="Google Sans Text" w:hAnsi="Google Sans Text"/>
          <w:color w:val="1f1f1f"/>
        </w:rPr>
        <w:drawing>
          <wp:inline distB="19050" distT="19050" distL="19050" distR="19050">
            <wp:extent cx="424061" cy="231306"/>
            <wp:effectExtent b="0" l="0" r="0" t="0"/>
            <wp:docPr id="35"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424061" cy="23130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the Annual Rate of Occurrence (how many failures are expected in a year).</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A mature facility (</w:t>
      </w:r>
      <w:r w:rsidDel="00000000" w:rsidR="00000000" w:rsidRPr="00000000">
        <w:rPr>
          <w:rFonts w:ascii="Google Sans Text" w:cs="Google Sans Text" w:eastAsia="Google Sans Text" w:hAnsi="Google Sans Text"/>
          <w:color w:val="1f1f1f"/>
        </w:rPr>
        <w:drawing>
          <wp:inline distB="19050" distT="19050" distL="19050" distR="19050">
            <wp:extent cx="832049" cy="230414"/>
            <wp:effectExtent b="0" l="0" r="0" t="0"/>
            <wp:docPr id="3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832049" cy="23041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suppresses </w:t>
      </w:r>
      <w:r w:rsidDel="00000000" w:rsidR="00000000" w:rsidRPr="00000000">
        <w:rPr>
          <w:rFonts w:ascii="Google Sans Text" w:cs="Google Sans Text" w:eastAsia="Google Sans Text" w:hAnsi="Google Sans Text"/>
          <w:color w:val="1f1f1f"/>
        </w:rPr>
        <w:drawing>
          <wp:inline distB="19050" distT="19050" distL="19050" distR="19050">
            <wp:extent cx="424061" cy="231306"/>
            <wp:effectExtent b="0" l="0" r="0" t="0"/>
            <wp:docPr id="38"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424061" cy="23130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through predictive maintenance and systematic excellence, resulting in a significantly lower </w:t>
      </w:r>
      <w:r w:rsidDel="00000000" w:rsidR="00000000" w:rsidRPr="00000000">
        <w:rPr>
          <w:rFonts w:ascii="Google Sans Text" w:cs="Google Sans Text" w:eastAsia="Google Sans Text" w:hAnsi="Google Sans Text"/>
          <w:color w:val="1f1f1f"/>
        </w:rPr>
        <w:drawing>
          <wp:inline distB="19050" distT="19050" distL="19050" distR="19050">
            <wp:extent cx="416917" cy="227409"/>
            <wp:effectExtent b="0" l="0" r="0" t="0"/>
            <wp:docPr id="37"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416917" cy="22740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compared to a "Reactive" facility.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2: Financial Performance Indicators by Maturity Level</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Maturity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Budget Variance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Insurance Risk 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Annual Loss Expectancy (per MW)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Level 1 (Reactive)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489149" cy="193085"/>
                  <wp:effectExtent b="0" l="0" r="0" t="0"/>
                  <wp:docPr id="43"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489149" cy="193085"/>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 Uninsurable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699889" cy="194414"/>
                  <wp:effectExtent b="0" l="0" r="0" t="0"/>
                  <wp:docPr id="41"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699889" cy="194414"/>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Level 2 (Defined)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833438" cy="189418"/>
                  <wp:effectExtent b="0" l="0" r="0" t="0"/>
                  <wp:docPr id="48"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833438" cy="189418"/>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699889" cy="194414"/>
                  <wp:effectExtent b="0" l="0" r="0" t="0"/>
                  <wp:docPr id="44"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699889" cy="194414"/>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Level 3 (Integrated)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744538" cy="192553"/>
                  <wp:effectExtent b="0" l="0" r="0" t="0"/>
                  <wp:docPr id="46"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744538" cy="192553"/>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Preferred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610989" cy="190934"/>
                  <wp:effectExtent b="0" l="0" r="0" t="0"/>
                  <wp:docPr id="49"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610989" cy="190934"/>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Level 4 (Automated)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655637" cy="192834"/>
                  <wp:effectExtent b="0" l="0" r="0" t="0"/>
                  <wp:docPr id="51"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655637" cy="192834"/>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610989" cy="190934"/>
                  <wp:effectExtent b="0" l="0" r="0" t="0"/>
                  <wp:docPr id="52"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610989" cy="190934"/>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Level 5 (Predictive)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400248" cy="193668"/>
                  <wp:effectExtent b="0" l="0" r="0" t="0"/>
                  <wp:docPr id="53"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00248" cy="193668"/>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Elite / Multi-year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782638" cy="192452"/>
                  <wp:effectExtent b="0" l="0" r="0" t="0"/>
                  <wp:docPr id="54"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782638" cy="192452"/>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bl>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Fulfillment ROI and Human Capital Optimization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Senior leadership increasingly recognizes that "Fulfillment ROI"—the measurable business impact of integrating employee well-being with performance—is a key driver of hard financial outcomes.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High-engagement organizations see 23% higher profitability and 18% better productivity.</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In the context of data center operations, where turnover can range from 36% to over 60%, achieving elite retention (90%+) is a competitive advantage that significantly reduces recruitment and training expenses.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Dimension 2: Operational Intelligence and Traceability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Operational intelligence in the "Pro Mode" framework is defined by the ability to reconstruct events and predict failures before they occur. This aligns directly with the EU AI Act’s Article 12, which demands "automatic recording of events" to ensure traceability.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For high-risk systems, the logs must capture the period of use, the reference database, the input data matches, and the identities of those involved in verification.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Architecture of Intelligence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mature operational intelligence engine is built on four essential layers: data ingestion, integrity verification, explainability wrappers (Glass Box models), and an immutable audit trail.</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This architecture transforms raw telemetry into "Moral Trace Logs" that fulfill the record-keeping mandates of Article 12 with a degree of integrity conventional systems cannot match.</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effectiveness of this dimension is measured via the Detection Quality Index (DQI):</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45988"/>
            <wp:effectExtent b="0" l="0" r="0" t="0"/>
            <wp:docPr id="55"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905500" cy="44598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high DQI (</w:t>
      </w:r>
      <w:r w:rsidDel="00000000" w:rsidR="00000000" w:rsidRPr="00000000">
        <w:rPr>
          <w:rFonts w:ascii="Google Sans Text" w:cs="Google Sans Text" w:eastAsia="Google Sans Text" w:hAnsi="Google Sans Text"/>
          <w:color w:val="1f1f1f"/>
        </w:rPr>
        <w:drawing>
          <wp:inline distB="19050" distT="19050" distL="19050" distR="19050">
            <wp:extent cx="571897" cy="216050"/>
            <wp:effectExtent b="0" l="0" r="0" t="0"/>
            <wp:docPr id="56"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571897" cy="21605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signals a mature SOC (Security Operations Center) capable of filtering noise to focus on true systemic risks.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In the Pro Mode UX, this is visualized as a "Signal-to-Noise" ratio, demonstrating the facility's ability to identify situations that could lead to substantial modifications or systemic failures.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3: Operational Intelligence Maturity Indicators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Executive Value Proposition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Mean Time to Detect (MTTD)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349448" cy="194138"/>
                  <wp:effectExtent b="0" l="0" r="0" t="0"/>
                  <wp:docPr id="57"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349448" cy="194138"/>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mins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Minimizing lateral threat movement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Automation Ratio (AR)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571897" cy="216050"/>
                  <wp:effectExtent b="0" l="0" r="0" t="0"/>
                  <wp:docPr id="21"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71897" cy="21605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Repeatable, fast response cycles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Hash-validated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Legal defensibility and audit readiness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Evidence Delivery SLA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349448" cy="194138"/>
                  <wp:effectExtent b="0" l="0" r="0" t="0"/>
                  <wp:docPr id="2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349448" cy="194138"/>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Accelerated compliance verification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bl>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Dimension 3: Infrastructure Density and Technical Telemetry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 Mode" framework addresses the unique challenges of next-generation AI and high-performance computing (HPC) environments. Unlike conventional data centers, these facilities operate at extreme power densities, requiring a shift from air cooling to liquid or immersion systems.</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Maturity in this dimension is reflected in the granularity of telemetry—tracking not just facility-wide PUE, but GPU-specific thermal metrics and rack-level liquid flow rates.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Thermodynamic Maturity and Heat Reuse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Under EED Article 12 and national transpositions like the German EnEfG and the Spanish Royal Decree, data centers over 1 MW must prioritize waste heat utilization.</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Mature facilities achieve </w:t>
      </w:r>
      <w:r w:rsidDel="00000000" w:rsidR="00000000" w:rsidRPr="00000000">
        <w:rPr>
          <w:rFonts w:ascii="Google Sans Text" w:cs="Google Sans Text" w:eastAsia="Google Sans Text" w:hAnsi="Google Sans Text"/>
          <w:color w:val="1f1f1f"/>
        </w:rPr>
        <w:drawing>
          <wp:inline distB="19050" distT="19050" distL="19050" distR="19050">
            <wp:extent cx="571897" cy="216050"/>
            <wp:effectExtent b="0" l="0" r="0" t="0"/>
            <wp:docPr id="23"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1897" cy="21605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waste heat reuse by 2026, rising to </w:t>
      </w:r>
      <w:r w:rsidDel="00000000" w:rsidR="00000000" w:rsidRPr="00000000">
        <w:rPr>
          <w:rFonts w:ascii="Google Sans Text" w:cs="Google Sans Text" w:eastAsia="Google Sans Text" w:hAnsi="Google Sans Text"/>
          <w:color w:val="1f1f1f"/>
        </w:rPr>
        <w:drawing>
          <wp:inline distB="19050" distT="19050" distL="19050" distR="19050">
            <wp:extent cx="368300" cy="215900"/>
            <wp:effectExtent b="0" l="0" r="0" t="0"/>
            <wp:docPr id="24"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368300" cy="2159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by 2028.</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The ResistanceZero calculator must facilitate the mandatory Cost-Benefit Analysis (CBA) by providing a "Heat Value Index" based on average waste heat temperature (</w:t>
      </w:r>
      <w:r w:rsidDel="00000000" w:rsidR="00000000" w:rsidRPr="00000000">
        <w:rPr>
          <w:rFonts w:ascii="Google Sans Text" w:cs="Google Sans Text" w:eastAsia="Google Sans Text" w:hAnsi="Google Sans Text"/>
          <w:color w:val="1f1f1f"/>
        </w:rPr>
        <w:drawing>
          <wp:inline distB="19050" distT="19050" distL="19050" distR="19050">
            <wp:extent cx="367506" cy="228107"/>
            <wp:effectExtent b="0" l="0" r="0" t="0"/>
            <wp:docPr id="25"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367506" cy="22810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local heat demand.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4: Infrastructure Density and Thermal Parameters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Measurement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Maturity Significance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Installed IT power demand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SDC / SCR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211138" cy="211138"/>
                  <wp:effectExtent b="0" l="0" r="0" t="0"/>
                  <wp:docPr id="26"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211138" cy="211138"/>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Floor area vs. computer room utilization </w:t>
            </w:r>
            <w:r w:rsidDel="00000000" w:rsidR="00000000" w:rsidRPr="00000000">
              <w:rPr>
                <w:rFonts w:ascii="Google Sans Text" w:cs="Google Sans Text" w:eastAsia="Google Sans Text" w:hAnsi="Google Sans Text"/>
                <w:color w:val="444746"/>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Pr>
              <w:drawing>
                <wp:inline distB="19050" distT="19050" distL="19050" distR="19050">
                  <wp:extent cx="270272" cy="205921"/>
                  <wp:effectExtent b="0" l="0" r="0" t="0"/>
                  <wp:docPr id="27"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270272" cy="205921"/>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Celsius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Intake air setpoint; higher indicates efficiency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EREUSE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kWh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Total waste heat reused for external applications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 Mode engine uses these inputs to calculate the Energy Reuse Factor (ERF):</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38299"/>
            <wp:effectExtent b="0" l="0" r="0" t="0"/>
            <wp:docPr id="28"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905500" cy="43829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An ERF of 0.20 or higher is the benchmark for high-maturity "Pioneer" facilities in regions with advanced district heating mandates.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Dimension 4: Reliability and the Probability of Survival</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Data center reliability is traditionally governed by the Uptime Institute’s Tier Classification System (Tiers I-IV).</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f1f1f"/>
          <w:rtl w:val="0"/>
        </w:rPr>
        <w:t xml:space="preserve"> However, a "Pro Mode" maturity assessment must translate these static classifications into dynamic reliability functions. Executives need to know the "Probability of Survival" (</w:t>
      </w:r>
      <w:r w:rsidDel="00000000" w:rsidR="00000000" w:rsidRPr="00000000">
        <w:rPr>
          <w:rFonts w:ascii="Google Sans Text" w:cs="Google Sans Text" w:eastAsia="Google Sans Text" w:hAnsi="Google Sans Text"/>
          <w:color w:val="1f1f1f"/>
        </w:rPr>
        <w:drawing>
          <wp:inline distB="19050" distT="19050" distL="19050" distR="19050">
            <wp:extent cx="356989" cy="237993"/>
            <wp:effectExtent b="0" l="0" r="0" t="0"/>
            <wp:docPr id="29"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356989" cy="23799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of their critical infrastructure during peak load periods or regulatory audits.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MTBF Proxy and System Availability</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framework utilizes Mean Time Between Failures (MTBF) and Mean Time To Repair (MTTR) to calculate inherent availability (</w:t>
      </w:r>
      <w:r w:rsidDel="00000000" w:rsidR="00000000" w:rsidRPr="00000000">
        <w:rPr>
          <w:rFonts w:ascii="Google Sans Text" w:cs="Google Sans Text" w:eastAsia="Google Sans Text" w:hAnsi="Google Sans Text"/>
          <w:color w:val="1f1f1f"/>
        </w:rPr>
        <w:drawing>
          <wp:inline distB="19050" distT="19050" distL="19050" distR="19050">
            <wp:extent cx="139700" cy="228601"/>
            <wp:effectExtent b="0" l="0" r="0" t="0"/>
            <wp:docPr id="30"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139700" cy="22860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15230"/>
            <wp:effectExtent b="0" l="0" r="0" t="0"/>
            <wp:docPr id="11"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05500" cy="41523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a Pro Mode scenario, if a user inputs a Tier III infrastructure (</w:t>
      </w:r>
      <w:r w:rsidDel="00000000" w:rsidR="00000000" w:rsidRPr="00000000">
        <w:rPr>
          <w:rFonts w:ascii="Google Sans Text" w:cs="Google Sans Text" w:eastAsia="Google Sans Text" w:hAnsi="Google Sans Text"/>
          <w:color w:val="1f1f1f"/>
        </w:rPr>
        <w:drawing>
          <wp:inline distB="19050" distT="19050" distL="19050" distR="19050">
            <wp:extent cx="723900" cy="215900"/>
            <wp:effectExtent b="0" l="0" r="0" t="0"/>
            <wp:docPr id="12"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723900" cy="2159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uptime), the calculator automatically derives a proxy MTBF based on historical benchmarks for N+1 concurrently maintainable systems.</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f1f1f"/>
          <w:rtl w:val="0"/>
        </w:rPr>
        <w:t xml:space="preserve"> It then applies a "Maturity Offset" based on the facility’s workforce training and automation levels. A facility with reactive staff will have a longer MTTR, effectively degrading its Tier III rating to Tier II performance.</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5: Reliability Distribution by Tier and Maturity</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Tier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Redundancy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Max Annual Downtime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Maturity Factor (LM)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Tier 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17500" cy="198437"/>
                  <wp:effectExtent b="0" l="0" r="0" t="0"/>
                  <wp:docPr id="13"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317500" cy="198437"/>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Baseline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Tier 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N+1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77800" cy="190500"/>
                  <wp:effectExtent b="0" l="0" r="0" t="0"/>
                  <wp:docPr id="14"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177800" cy="190500"/>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44500" cy="190500"/>
                  <wp:effectExtent b="0" l="0" r="0" t="0"/>
                  <wp:docPr id="15"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444500" cy="190500"/>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Reliability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Tier III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N+1 Paths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228600" cy="190500"/>
                  <wp:effectExtent b="0" l="0" r="0" t="0"/>
                  <wp:docPr id="16"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228600" cy="190500"/>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55600" cy="197555"/>
                  <wp:effectExtent b="0" l="0" r="0" t="0"/>
                  <wp:docPr id="17"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355600" cy="197555"/>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Reliability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Tier 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2N+1 Paths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17500" cy="198437"/>
                  <wp:effectExtent b="0" l="0" r="0" t="0"/>
                  <wp:docPr id="18"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317500" cy="198437"/>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minutes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55600" cy="197555"/>
                  <wp:effectExtent b="0" l="0" r="0" t="0"/>
                  <wp:docPr id="19"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355600" cy="197555"/>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Reliability</w:t>
            </w:r>
          </w:p>
        </w:tc>
      </w:tr>
    </w:tbl>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"Leadership Multiplier" (LM) acts as a scalar for the reliability function. Research demonstrates that organizations with strong leadership programs are 4.2 times more likely to outperform competitors, a multiplier that directly correlates to the stability of critical infrastructure.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Dimension 5: Sustainability and Environmental Compliance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Sustainability is the cornerstone of Article 12 of the Energy Efficiency Directive. Operators must report 25 distinct data points, including total water input (WIN) and Renewable Energy Factor (REF).</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Pro Mode reporting takes this a step further by mapping performance to the "Top 15%" requirement of emerging EU sustainability schemes.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Water-Energy Nexus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facilities in water-stressed environments, the Water Usage Effectiveness (WUE) metric is as critical as PUE. The formula is calculated as: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45988"/>
            <wp:effectExtent b="0" l="0" r="0" t="0"/>
            <wp:docPr id="20"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905500" cy="44598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 Mode dashboard provides a "Water Scarcity Risk Score" by cross-referencing local municipality data with the data center's consumption.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ensures compliance with the "do no significant harm" (DNSH) principle of the EU Taxonomy.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6: Sustainability Reporting Matrix (EED Article 12)</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Specific 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Maturity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PUE (Actual vs.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00248" cy="193668"/>
                  <wp:effectExtent b="0" l="0" r="0" t="0"/>
                  <wp:docPr id="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00248" cy="193668"/>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WUE (Total vs. Potable)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L/kWh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00248" cy="193668"/>
                  <wp:effectExtent b="0" l="0" r="0" t="0"/>
                  <wp:docPr id="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00248" cy="193668"/>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Renewables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REF (on-site + PPA + GOO)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39700" cy="190500"/>
                  <wp:effectExtent b="0" l="0" r="0" t="0"/>
                  <wp:docPr id="3"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139700" cy="1905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406400" cy="190500"/>
                  <wp:effectExtent b="0" l="0" r="0" t="0"/>
                  <wp:docPr id="4"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406400" cy="190500"/>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by 2027 </w:t>
            </w:r>
            <w:r w:rsidDel="00000000" w:rsidR="00000000" w:rsidRPr="00000000">
              <w:rPr>
                <w:rFonts w:ascii="Google Sans Text" w:cs="Google Sans Text" w:eastAsia="Google Sans Text" w:hAnsi="Google Sans Text"/>
                <w:color w:val="444746"/>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ICT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CSERV / CSTOR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Units / PB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Optimized Utilization</w:t>
            </w:r>
          </w:p>
        </w:tc>
      </w:tr>
    </w:tbl>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key feature for C-level executives is the "Green Financing Eligibility" score. Facilities that meet top-tier sustainability benchmarks can unlock lower-cost capital and green bonds, directly improving the long-term ROI of the project.</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Dimension 6: Safety, Compliance, and Risk Exposure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Operational safety is the non-negotiable floor of any maturity model. For hyperscale facilities, maintaining a "Zero LTI" (Lost Time Injury) record is a primary operational objective.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Pro Mode framework implements a Risk Exposure Index (REI) to quantify vulnerabilities in both physical safety and regulatory compliance.</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Risk Exposure Index (REI)</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REI is an aggregation of probability and impact across all identified risk nodes: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61404"/>
            <wp:effectExtent b="0" l="0" r="0" t="0"/>
            <wp:docPr id="5"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905500" cy="36140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data center context, </w:t>
      </w:r>
      <w:r w:rsidDel="00000000" w:rsidR="00000000" w:rsidRPr="00000000">
        <w:rPr>
          <w:rFonts w:ascii="Google Sans Text" w:cs="Google Sans Text" w:eastAsia="Google Sans Text" w:hAnsi="Google Sans Text"/>
          <w:color w:val="1f1f1f"/>
        </w:rPr>
        <w:drawing>
          <wp:inline distB="19050" distT="19050" distL="19050" distR="19050">
            <wp:extent cx="808037" cy="230868"/>
            <wp:effectExtent b="0" l="0" r="0" t="0"/>
            <wp:docPr id="6"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808037" cy="23086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includes the financial weight of regulatory penalties, such as the EU AI Act fines for inadequate record-keeping, which can reach up to 7% of total global annual turnover.</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A mature organization uses continuous, automated screening and real-time transaction scoring to maintain a low REI (&lt; 25%).</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7: Compliance and Risk Domains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Maturity Proof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AK3L / IOSH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Zero LTI over 12 months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ISO 42001 / AI 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Immutable event logs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ICT Resilience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DORA Article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Validated Disaster Recovery </w:t>
            </w:r>
            <w:r w:rsidDel="00000000" w:rsidR="00000000" w:rsidRPr="00000000">
              <w:rPr>
                <w:rFonts w:ascii="Google Sans Text" w:cs="Google Sans Text" w:eastAsia="Google Sans Text" w:hAnsi="Google Sans Text"/>
                <w:color w:val="444746"/>
                <w:sz w:val="24"/>
                <w:szCs w:val="24"/>
                <w:vertAlign w:val="superscript"/>
                <w:rtl w:val="0"/>
              </w:rPr>
              <w:t xml:space="preserve">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Electrical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CCNA / HCIA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Zero unplanned outages </w:t>
            </w:r>
            <w:r w:rsidDel="00000000" w:rsidR="00000000" w:rsidRPr="00000000">
              <w:rPr>
                <w:rFonts w:ascii="Google Sans Text" w:cs="Google Sans Text" w:eastAsia="Google Sans Text" w:hAnsi="Google Sans Text"/>
                <w:color w:val="444746"/>
                <w:sz w:val="24"/>
                <w:szCs w:val="24"/>
                <w:vertAlign w:val="superscript"/>
                <w:rtl w:val="0"/>
              </w:rPr>
              <w:t xml:space="preserve">55</w:t>
            </w:r>
          </w:p>
        </w:tc>
      </w:tr>
    </w:tbl>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 Mode UX features a "Compliance Radar" that identifies gaps in audit readiness. For example, if the facility lacks a "Sacred Pause" mechanism—an enforceable oversight step required by Article 14 of the AI Act—the system flags a critical governance failure.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Dimension 7: Workforce Maturity and the Leadership Multiplier</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most advanced automation cannot compensate for a low-maturity workforce. Research consistently shows that leadership is the "ultimate multiplier" that elevates performance across every level of an organization.</w:t>
      </w: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Google Sans Text" w:cs="Google Sans Text" w:eastAsia="Google Sans Text" w:hAnsi="Google Sans Text"/>
          <w:color w:val="1f1f1f"/>
          <w:rtl w:val="0"/>
        </w:rPr>
        <w:t xml:space="preserve"> The Pro Mode framework evaluates workforce maturity through team retention rates, certification density, and "Relational Intelligence".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Talent Continuity Matrix</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Data center operations require highly specialized skills (L6 Competent Managers, High Voltage Authorized Persons). A mature facility (</w:t>
      </w:r>
      <w:r w:rsidDel="00000000" w:rsidR="00000000" w:rsidRPr="00000000">
        <w:rPr>
          <w:rFonts w:ascii="Google Sans Text" w:cs="Google Sans Text" w:eastAsia="Google Sans Text" w:hAnsi="Google Sans Text"/>
          <w:color w:val="1f1f1f"/>
        </w:rPr>
        <w:drawing>
          <wp:inline distB="19050" distT="19050" distL="19050" distR="19050">
            <wp:extent cx="832049" cy="230414"/>
            <wp:effectExtent b="0" l="0" r="0" t="0"/>
            <wp:docPr id="7"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832049" cy="23041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demonstrates an "Employee Value Proposition" that results in retention rates of 91% or higher.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ROI of this workforce stability is calculated by the reduction in "Ramp-up Time" for new hires and the avoidance of replacement costs, which typically range from 50% to 200% of an employee's annual salary.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8: Impact of Leadership Maturity on Team Dynamics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Leadership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Coaching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Team Loyalty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Performance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Trusted Leader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444500" cy="190500"/>
                  <wp:effectExtent b="0" l="0" r="0" t="0"/>
                  <wp:docPr id="8"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444500" cy="190500"/>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17500" cy="198437"/>
                  <wp:effectExtent b="0" l="0" r="0" t="0"/>
                  <wp:docPr id="9"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317500" cy="198437"/>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loyalty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55600" cy="197555"/>
                  <wp:effectExtent b="0" l="0" r="0" t="0"/>
                  <wp:docPr id="10"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355600" cy="197555"/>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higher performance </w:t>
            </w:r>
            <w:r w:rsidDel="00000000" w:rsidR="00000000" w:rsidRPr="00000000">
              <w:rPr>
                <w:rFonts w:ascii="Google Sans Text" w:cs="Google Sans Text" w:eastAsia="Google Sans Text" w:hAnsi="Google Sans Text"/>
                <w:color w:val="444746"/>
                <w:sz w:val="24"/>
                <w:szCs w:val="24"/>
                <w:vertAlign w:val="superscript"/>
                <w:rtl w:val="0"/>
              </w:rPr>
              <w:t xml:space="preserve">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Transactional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Routine execution </w:t>
            </w:r>
            <w:r w:rsidDel="00000000" w:rsidR="00000000" w:rsidRPr="00000000">
              <w:rPr>
                <w:rFonts w:ascii="Google Sans Text" w:cs="Google Sans Text" w:eastAsia="Google Sans Text" w:hAnsi="Google Sans Text"/>
                <w:color w:val="444746"/>
                <w:sz w:val="24"/>
                <w:szCs w:val="24"/>
                <w:vertAlign w:val="superscript"/>
                <w:rtl w:val="0"/>
              </w:rPr>
              <w:t xml:space="preserve">61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Diminisher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444500" cy="190500"/>
                  <wp:effectExtent b="0" l="0" r="0" t="0"/>
                  <wp:docPr id="36"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444500" cy="190500"/>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17500" cy="198437"/>
                  <wp:effectExtent b="0" l="0" r="0" t="0"/>
                  <wp:docPr id="39"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317500" cy="198437"/>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turnover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Systematic drag </w:t>
            </w:r>
            <w:r w:rsidDel="00000000" w:rsidR="00000000" w:rsidRPr="00000000">
              <w:rPr>
                <w:rFonts w:ascii="Google Sans Text" w:cs="Google Sans Text" w:eastAsia="Google Sans Text" w:hAnsi="Google Sans Text"/>
                <w:color w:val="444746"/>
                <w:sz w:val="24"/>
                <w:szCs w:val="24"/>
                <w:vertAlign w:val="superscript"/>
                <w:rtl w:val="0"/>
              </w:rPr>
              <w:t xml:space="preserve">62</w:t>
            </w:r>
          </w:p>
        </w:tc>
      </w:tr>
    </w:tbl>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executive report, this is represented as the "Organization Metabolism," showing how effectively the team processes stress, converts risk into learning, and maintains stability during major infrastructure upgrades or migrations.</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Dimension 8: Strategic Alignment and Future Proofing</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final dimension of maturity is the degree to which operational outcomes support the corporate strategy. This is particularly relevant as organizations prepare for the "Digital Decade 2025" and the tripling of data center processing capacity by 2030.</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Maturity here is measured by the Benefit Realization Rate (BRR)—the percentage of planned strategic benefits actually achieved by a project.</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Horizon Planning and Optionality</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Mature facilities utilize "Adaptive Strategy," viewing risk as an opportunity to uncover hidden value.</w:t>
      </w:r>
      <w:r w:rsidDel="00000000" w:rsidR="00000000" w:rsidRPr="00000000">
        <w:rPr>
          <w:rFonts w:ascii="Google Sans Text" w:cs="Google Sans Text" w:eastAsia="Google Sans Text" w:hAnsi="Google Sans Text"/>
          <w:color w:val="444746"/>
          <w:sz w:val="24"/>
          <w:szCs w:val="24"/>
          <w:vertAlign w:val="superscript"/>
          <w:rtl w:val="0"/>
        </w:rPr>
        <w:t xml:space="preserve">58</w:t>
      </w:r>
      <w:r w:rsidDel="00000000" w:rsidR="00000000" w:rsidRPr="00000000">
        <w:rPr>
          <w:rFonts w:ascii="Google Sans Text" w:cs="Google Sans Text" w:eastAsia="Google Sans Text" w:hAnsi="Google Sans Text"/>
          <w:color w:val="1f1f1f"/>
          <w:rtl w:val="0"/>
        </w:rPr>
        <w:t xml:space="preserve"> This includes creating "Optionality"—designing flexible infrastructure pathways that can shift between grid power and on-site renewables or liquid and air cooling as market conditions dictate.</w:t>
      </w:r>
      <w:r w:rsidDel="00000000" w:rsidR="00000000" w:rsidRPr="00000000">
        <w:rPr>
          <w:rFonts w:ascii="Google Sans Text" w:cs="Google Sans Text" w:eastAsia="Google Sans Text" w:hAnsi="Google Sans Text"/>
          <w:color w:val="444746"/>
          <w:sz w:val="24"/>
          <w:szCs w:val="24"/>
          <w:vertAlign w:val="superscript"/>
          <w:rtl w:val="0"/>
        </w:rPr>
        <w:t xml:space="preserve">68</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9: Strategic Maturity Benchmarks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Objective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Contribution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Alignment with ESG goals </w:t>
            </w:r>
            <w:r w:rsidDel="00000000" w:rsidR="00000000" w:rsidRPr="00000000">
              <w:rPr>
                <w:rFonts w:ascii="Google Sans Text" w:cs="Google Sans Text" w:eastAsia="Google Sans Text" w:hAnsi="Google Sans Text"/>
                <w:color w:val="444746"/>
                <w:sz w:val="24"/>
                <w:szCs w:val="24"/>
                <w:vertAlign w:val="superscript"/>
                <w:rtl w:val="0"/>
              </w:rPr>
              <w:t xml:space="preserve">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Benefit Realization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489149" cy="193085"/>
                  <wp:effectExtent b="0" l="0" r="0" t="0"/>
                  <wp:docPr id="40"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489149" cy="193085"/>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Efficient capital allocation </w:t>
            </w:r>
            <w:r w:rsidDel="00000000" w:rsidR="00000000" w:rsidRPr="00000000">
              <w:rPr>
                <w:rFonts w:ascii="Google Sans Text" w:cs="Google Sans Text" w:eastAsia="Google Sans Text" w:hAnsi="Google Sans Text"/>
                <w:color w:val="444746"/>
                <w:sz w:val="24"/>
                <w:szCs w:val="24"/>
                <w:vertAlign w:val="superscript"/>
                <w:rtl w:val="0"/>
              </w:rPr>
              <w:t xml:space="preserve">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Portfolio ROI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578048" cy="192683"/>
                  <wp:effectExtent b="0" l="0" r="0" t="0"/>
                  <wp:docPr id="42"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578048" cy="192683"/>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Value creation for shareholders </w:t>
            </w:r>
            <w:r w:rsidDel="00000000" w:rsidR="00000000" w:rsidRPr="00000000">
              <w:rPr>
                <w:rFonts w:ascii="Google Sans Text" w:cs="Google Sans Text" w:eastAsia="Google Sans Text" w:hAnsi="Google Sans Text"/>
                <w:color w:val="444746"/>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Agility 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Response to disruptive AI trends </w:t>
            </w:r>
            <w:r w:rsidDel="00000000" w:rsidR="00000000" w:rsidRPr="00000000">
              <w:rPr>
                <w:rFonts w:ascii="Google Sans Text" w:cs="Google Sans Text" w:eastAsia="Google Sans Text" w:hAnsi="Google Sans Text"/>
                <w:color w:val="444746"/>
                <w:sz w:val="24"/>
                <w:szCs w:val="24"/>
                <w:vertAlign w:val="superscript"/>
                <w:rtl w:val="0"/>
              </w:rPr>
              <w:t xml:space="preserve">69</w:t>
            </w:r>
          </w:p>
        </w:tc>
      </w:tr>
    </w:tbl>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 Mode UX provides a "Future Shock" simulator, allowing executives to model the impact of potential regulatory shifts—such as the 2026 data center energy efficiency package—on their current 5-year plan.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 Mode UX Enhancement: The Executive Analytical Suite</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outcome of the ResistanceZero Pro Mode is a comprehensive report that translates six simple inputs into a 30-parameter analytical matrix. This transition requires a sophisticated UX design that balances technical depth with executive clarity.</w:t>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"6-to-30" Parameter Inference Engine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minimize user fatigue while maximizing insight, the Pro Mode engine uses a tiered logic structure. When a user provides the following six inputs:</w:t>
      </w:r>
    </w:p>
    <w:p w:rsidR="00000000" w:rsidDel="00000000" w:rsidP="00000000" w:rsidRDefault="00000000" w:rsidRPr="00000000" w14:paraId="000000E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Region/Location</w:t>
      </w:r>
      <w:r w:rsidDel="00000000" w:rsidR="00000000" w:rsidRPr="00000000">
        <w:rPr>
          <w:rFonts w:ascii="Google Sans Text" w:cs="Google Sans Text" w:eastAsia="Google Sans Text" w:hAnsi="Google Sans Text"/>
          <w:color w:val="1f1f1f"/>
          <w:rtl w:val="0"/>
        </w:rPr>
        <w:t xml:space="preserve"> (e.g., European Union - Germany)</w:t>
      </w:r>
    </w:p>
    <w:p w:rsidR="00000000" w:rsidDel="00000000" w:rsidP="00000000" w:rsidRDefault="00000000" w:rsidRPr="00000000" w14:paraId="000000E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Infrastructure Tier</w:t>
      </w:r>
      <w:r w:rsidDel="00000000" w:rsidR="00000000" w:rsidRPr="00000000">
        <w:rPr>
          <w:rFonts w:ascii="Google Sans Text" w:cs="Google Sans Text" w:eastAsia="Google Sans Text" w:hAnsi="Google Sans Text"/>
          <w:color w:val="1f1f1f"/>
          <w:rtl w:val="0"/>
        </w:rPr>
        <w:t xml:space="preserve"> (e.g., Tier III)</w:t>
      </w:r>
    </w:p>
    <w:p w:rsidR="00000000" w:rsidDel="00000000" w:rsidP="00000000" w:rsidRDefault="00000000" w:rsidRPr="00000000" w14:paraId="000000E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Total IT Load</w:t>
      </w:r>
      <w:r w:rsidDel="00000000" w:rsidR="00000000" w:rsidRPr="00000000">
        <w:rPr>
          <w:rFonts w:ascii="Google Sans Text" w:cs="Google Sans Text" w:eastAsia="Google Sans Text" w:hAnsi="Google Sans Text"/>
          <w:color w:val="1f1f1f"/>
          <w:rtl w:val="0"/>
        </w:rPr>
        <w:t xml:space="preserve"> (e.g., 10 MW)</w:t>
      </w:r>
    </w:p>
    <w:p w:rsidR="00000000" w:rsidDel="00000000" w:rsidP="00000000" w:rsidRDefault="00000000" w:rsidRPr="00000000" w14:paraId="000000E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Current PUE</w:t>
      </w:r>
      <w:r w:rsidDel="00000000" w:rsidR="00000000" w:rsidRPr="00000000">
        <w:rPr>
          <w:rFonts w:ascii="Google Sans Text" w:cs="Google Sans Text" w:eastAsia="Google Sans Text" w:hAnsi="Google Sans Text"/>
          <w:color w:val="1f1f1f"/>
          <w:rtl w:val="0"/>
        </w:rPr>
        <w:t xml:space="preserve"> (e.g., 1.45)</w:t>
      </w:r>
    </w:p>
    <w:p w:rsidR="00000000" w:rsidDel="00000000" w:rsidP="00000000" w:rsidRDefault="00000000" w:rsidRPr="00000000" w14:paraId="000000E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Staff Count / Turnover</w:t>
      </w:r>
      <w:r w:rsidDel="00000000" w:rsidR="00000000" w:rsidRPr="00000000">
        <w:rPr>
          <w:rFonts w:ascii="Google Sans Text" w:cs="Google Sans Text" w:eastAsia="Google Sans Text" w:hAnsi="Google Sans Text"/>
          <w:color w:val="1f1f1f"/>
          <w:rtl w:val="0"/>
        </w:rPr>
        <w:t xml:space="preserve"> (e.g., 50 Staff / 20%)</w:t>
      </w:r>
    </w:p>
    <w:p w:rsidR="00000000" w:rsidDel="00000000" w:rsidP="00000000" w:rsidRDefault="00000000" w:rsidRPr="00000000" w14:paraId="000000E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Incident Frequency</w:t>
      </w:r>
      <w:r w:rsidDel="00000000" w:rsidR="00000000" w:rsidRPr="00000000">
        <w:rPr>
          <w:rFonts w:ascii="Google Sans Text" w:cs="Google Sans Text" w:eastAsia="Google Sans Text" w:hAnsi="Google Sans Text"/>
          <w:color w:val="1f1f1f"/>
          <w:rtl w:val="0"/>
        </w:rPr>
        <w:t xml:space="preserve"> (e.g., 3 Critical / Year)</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engine applies a multi-variate regression model to derive the following 30 parameters for the executive report:</w:t>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Scope 2 Carbon Intensity</w:t>
      </w:r>
      <w:r w:rsidDel="00000000" w:rsidR="00000000" w:rsidRPr="00000000">
        <w:rPr>
          <w:rFonts w:ascii="Google Sans Text" w:cs="Google Sans Text" w:eastAsia="Google Sans Text" w:hAnsi="Google Sans Text"/>
          <w:color w:val="1f1f1f"/>
          <w:rtl w:val="0"/>
        </w:rPr>
        <w:t xml:space="preserve">: Derived from regional grid data.</w:t>
      </w:r>
      <w:r w:rsidDel="00000000" w:rsidR="00000000" w:rsidRPr="00000000">
        <w:rPr>
          <w:rFonts w:ascii="Google Sans Text" w:cs="Google Sans Text" w:eastAsia="Google Sans Text" w:hAnsi="Google Sans Text"/>
          <w:color w:val="444746"/>
          <w:sz w:val="24"/>
          <w:szCs w:val="24"/>
          <w:vertAlign w:val="superscript"/>
          <w:rtl w:val="0"/>
        </w:rPr>
        <w:t xml:space="preserve">70</w:t>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Water Scarcity Exposure</w:t>
      </w:r>
      <w:r w:rsidDel="00000000" w:rsidR="00000000" w:rsidRPr="00000000">
        <w:rPr>
          <w:rFonts w:ascii="Google Sans Text" w:cs="Google Sans Text" w:eastAsia="Google Sans Text" w:hAnsi="Google Sans Text"/>
          <w:color w:val="1f1f1f"/>
          <w:rtl w:val="0"/>
        </w:rPr>
        <w:t xml:space="preserve">: Derived from geographic scarcity coefficients.</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Waste Heat Reuse Potential</w:t>
      </w:r>
      <w:r w:rsidDel="00000000" w:rsidR="00000000" w:rsidRPr="00000000">
        <w:rPr>
          <w:rFonts w:ascii="Google Sans Text" w:cs="Google Sans Text" w:eastAsia="Google Sans Text" w:hAnsi="Google Sans Text"/>
          <w:color w:val="1f1f1f"/>
          <w:rtl w:val="0"/>
        </w:rPr>
        <w:t xml:space="preserve">: Calculated based on IT load and typical </w:t>
      </w:r>
      <w:r w:rsidDel="00000000" w:rsidR="00000000" w:rsidRPr="00000000">
        <w:rPr>
          <w:rFonts w:ascii="Google Sans Text" w:cs="Google Sans Text" w:eastAsia="Google Sans Text" w:hAnsi="Google Sans Text"/>
          <w:color w:val="1f1f1f"/>
        </w:rPr>
        <w:drawing>
          <wp:inline distB="19050" distT="19050" distL="19050" distR="19050">
            <wp:extent cx="304998" cy="228749"/>
            <wp:effectExtent b="0" l="0" r="0" t="0"/>
            <wp:docPr id="45"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304998" cy="22874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Annual Energy OPEX</w:t>
      </w:r>
      <w:r w:rsidDel="00000000" w:rsidR="00000000" w:rsidRPr="00000000">
        <w:rPr>
          <w:rFonts w:ascii="Google Sans Text" w:cs="Google Sans Text" w:eastAsia="Google Sans Text" w:hAnsi="Google Sans Text"/>
          <w:color w:val="1f1f1f"/>
          <w:rtl w:val="0"/>
        </w:rPr>
        <w:t xml:space="preserve">: Calculated using regional utility rate proxies.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Annual Loss Expectancy (ALE)</w:t>
      </w:r>
      <w:r w:rsidDel="00000000" w:rsidR="00000000" w:rsidRPr="00000000">
        <w:rPr>
          <w:rFonts w:ascii="Google Sans Text" w:cs="Google Sans Text" w:eastAsia="Google Sans Text" w:hAnsi="Google Sans Text"/>
          <w:color w:val="1f1f1f"/>
          <w:rtl w:val="0"/>
        </w:rPr>
        <w:t xml:space="preserve">: Quantified using incident frequency and Tier downtime models.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Audit Readiness Score</w:t>
      </w:r>
      <w:r w:rsidDel="00000000" w:rsidR="00000000" w:rsidRPr="00000000">
        <w:rPr>
          <w:rFonts w:ascii="Google Sans Text" w:cs="Google Sans Text" w:eastAsia="Google Sans Text" w:hAnsi="Google Sans Text"/>
          <w:color w:val="1f1f1f"/>
          <w:rtl w:val="0"/>
        </w:rPr>
        <w:t xml:space="preserve">: Based on Article 12 AI Act requirements for record-keeping.</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EED Compliance Gap</w:t>
      </w:r>
      <w:r w:rsidDel="00000000" w:rsidR="00000000" w:rsidRPr="00000000">
        <w:rPr>
          <w:rFonts w:ascii="Google Sans Text" w:cs="Google Sans Text" w:eastAsia="Google Sans Text" w:hAnsi="Google Sans Text"/>
          <w:color w:val="1f1f1f"/>
          <w:rtl w:val="0"/>
        </w:rPr>
        <w:t xml:space="preserve">: Analysis of current metrics vs. Annex VII mandatory data points.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Leadership Multiplier Factor</w:t>
      </w:r>
      <w:r w:rsidDel="00000000" w:rsidR="00000000" w:rsidRPr="00000000">
        <w:rPr>
          <w:rFonts w:ascii="Google Sans Text" w:cs="Google Sans Text" w:eastAsia="Google Sans Text" w:hAnsi="Google Sans Text"/>
          <w:color w:val="1f1f1f"/>
          <w:rtl w:val="0"/>
        </w:rPr>
        <w:t xml:space="preserve">: Assessing the impact of staff turnover on operational reliability.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Probability of Survival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356989" cy="237993"/>
            <wp:effectExtent b="0" l="0" r="0" t="0"/>
            <wp:docPr id="47"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356989" cy="237993"/>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A dynamic reliability curve for the next 12 months.</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Impact of MTTR on Availability</w:t>
      </w:r>
      <w:r w:rsidDel="00000000" w:rsidR="00000000" w:rsidRPr="00000000">
        <w:rPr>
          <w:rFonts w:ascii="Google Sans Text" w:cs="Google Sans Text" w:eastAsia="Google Sans Text" w:hAnsi="Google Sans Text"/>
          <w:color w:val="1f1f1f"/>
          <w:rtl w:val="0"/>
        </w:rPr>
        <w:t xml:space="preserve">: Sensitivity analysis of repair times on annual uptime.</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Recruitment Cost Savings</w:t>
      </w:r>
      <w:r w:rsidDel="00000000" w:rsidR="00000000" w:rsidRPr="00000000">
        <w:rPr>
          <w:rFonts w:ascii="Google Sans Text" w:cs="Google Sans Text" w:eastAsia="Google Sans Text" w:hAnsi="Google Sans Text"/>
          <w:color w:val="1f1f1f"/>
          <w:rtl w:val="0"/>
        </w:rPr>
        <w:t xml:space="preserve">: Potential savings from achieving elite retention targets.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Insurance Premium Index</w:t>
      </w:r>
      <w:r w:rsidDel="00000000" w:rsidR="00000000" w:rsidRPr="00000000">
        <w:rPr>
          <w:rFonts w:ascii="Google Sans Text" w:cs="Google Sans Text" w:eastAsia="Google Sans Text" w:hAnsi="Google Sans Text"/>
          <w:color w:val="1f1f1f"/>
          <w:rtl w:val="0"/>
        </w:rPr>
        <w:t xml:space="preserve">: Predicted impact of maturity level on insurability and rates.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 Traffic Efficiency</w:t>
      </w:r>
      <w:r w:rsidDel="00000000" w:rsidR="00000000" w:rsidRPr="00000000">
        <w:rPr>
          <w:rFonts w:ascii="Google Sans Text" w:cs="Google Sans Text" w:eastAsia="Google Sans Text" w:hAnsi="Google Sans Text"/>
          <w:color w:val="1f1f1f"/>
          <w:rtl w:val="0"/>
        </w:rPr>
        <w:t xml:space="preserve">: derived proxy for network throughput vs. energy consumption.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ICT Utilization Ratio</w:t>
      </w:r>
      <w:r w:rsidDel="00000000" w:rsidR="00000000" w:rsidRPr="00000000">
        <w:rPr>
          <w:rFonts w:ascii="Google Sans Text" w:cs="Google Sans Text" w:eastAsia="Google Sans Text" w:hAnsi="Google Sans Text"/>
          <w:color w:val="1f1f1f"/>
          <w:rtl w:val="0"/>
        </w:rPr>
        <w:t xml:space="preserve">: Relationship between EDC and EIT for operational efficiency.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CDD Efficiency Factor</w:t>
      </w:r>
      <w:r w:rsidDel="00000000" w:rsidR="00000000" w:rsidRPr="00000000">
        <w:rPr>
          <w:rFonts w:ascii="Google Sans Text" w:cs="Google Sans Text" w:eastAsia="Google Sans Text" w:hAnsi="Google Sans Text"/>
          <w:color w:val="1f1f1f"/>
          <w:rtl w:val="0"/>
        </w:rPr>
        <w:t xml:space="preserve">: Cooling degree day normalization for fair regional benchmarking.</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Grid Stability Risk</w:t>
      </w:r>
      <w:r w:rsidDel="00000000" w:rsidR="00000000" w:rsidRPr="00000000">
        <w:rPr>
          <w:rFonts w:ascii="Google Sans Text" w:cs="Google Sans Text" w:eastAsia="Google Sans Text" w:hAnsi="Google Sans Text"/>
          <w:color w:val="1f1f1f"/>
          <w:rtl w:val="0"/>
        </w:rPr>
        <w:t xml:space="preserve">: Exposure to national-level carbon reduction and supply constraints.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10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Total Talent Attrition Cost</w:t>
      </w:r>
      <w:r w:rsidDel="00000000" w:rsidR="00000000" w:rsidRPr="00000000">
        <w:rPr>
          <w:rFonts w:ascii="Google Sans Text" w:cs="Google Sans Text" w:eastAsia="Google Sans Text" w:hAnsi="Google Sans Text"/>
          <w:color w:val="1f1f1f"/>
          <w:rtl w:val="0"/>
        </w:rPr>
        <w:t xml:space="preserve">: Fully loaded cost of engineering churn.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Regulatory Penalty Liability</w:t>
      </w:r>
      <w:r w:rsidDel="00000000" w:rsidR="00000000" w:rsidRPr="00000000">
        <w:rPr>
          <w:rFonts w:ascii="Google Sans Text" w:cs="Google Sans Text" w:eastAsia="Google Sans Text" w:hAnsi="Google Sans Text"/>
          <w:color w:val="1f1f1f"/>
          <w:rtl w:val="0"/>
        </w:rPr>
        <w:t xml:space="preserve">: Predicted fines for non-compliance with AI Act Article 12.</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10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Renewable Energy Factor (REF)</w:t>
      </w:r>
      <w:r w:rsidDel="00000000" w:rsidR="00000000" w:rsidRPr="00000000">
        <w:rPr>
          <w:rFonts w:ascii="Google Sans Text" w:cs="Google Sans Text" w:eastAsia="Google Sans Text" w:hAnsi="Google Sans Text"/>
          <w:color w:val="1f1f1f"/>
          <w:rtl w:val="0"/>
        </w:rPr>
        <w:t xml:space="preserve">: On-site vs. Off-site renewable mix derivation.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0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Energy Reuse Factor (ERF)</w:t>
      </w:r>
      <w:r w:rsidDel="00000000" w:rsidR="00000000" w:rsidRPr="00000000">
        <w:rPr>
          <w:rFonts w:ascii="Google Sans Text" w:cs="Google Sans Text" w:eastAsia="Google Sans Text" w:hAnsi="Google Sans Text"/>
          <w:color w:val="1f1f1f"/>
          <w:rtl w:val="0"/>
        </w:rPr>
        <w:t xml:space="preserve">: Benchmarked against Spanish/German mandatory targets.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Infrastructure Density Score</w:t>
      </w:r>
      <w:r w:rsidDel="00000000" w:rsidR="00000000" w:rsidRPr="00000000">
        <w:rPr>
          <w:rFonts w:ascii="Google Sans Text" w:cs="Google Sans Text" w:eastAsia="Google Sans Text" w:hAnsi="Google Sans Text"/>
          <w:color w:val="1f1f1f"/>
          <w:rtl w:val="0"/>
        </w:rPr>
        <w:t xml:space="preserve">: Capability to handle GPU-intensive AI workloads.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10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PUE Peer Benchmark</w:t>
      </w:r>
      <w:r w:rsidDel="00000000" w:rsidR="00000000" w:rsidRPr="00000000">
        <w:rPr>
          <w:rFonts w:ascii="Google Sans Text" w:cs="Google Sans Text" w:eastAsia="Google Sans Text" w:hAnsi="Google Sans Text"/>
          <w:color w:val="1f1f1f"/>
          <w:rtl w:val="0"/>
        </w:rPr>
        <w:t xml:space="preserve">: Position relative to the "Top 15%" industry leaders.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ROI of Automation</w:t>
      </w:r>
      <w:r w:rsidDel="00000000" w:rsidR="00000000" w:rsidRPr="00000000">
        <w:rPr>
          <w:rFonts w:ascii="Google Sans Text" w:cs="Google Sans Text" w:eastAsia="Google Sans Text" w:hAnsi="Google Sans Text"/>
          <w:color w:val="1f1f1f"/>
          <w:rtl w:val="0"/>
        </w:rPr>
        <w:t xml:space="preserve">: Expected return from implementing SMI-based automation (AR </w:t>
      </w:r>
      <w:r w:rsidDel="00000000" w:rsidR="00000000" w:rsidRPr="00000000">
        <w:rPr>
          <w:rFonts w:ascii="Google Sans Text" w:cs="Google Sans Text" w:eastAsia="Google Sans Text" w:hAnsi="Google Sans Text"/>
          <w:color w:val="1f1f1f"/>
        </w:rPr>
        <w:drawing>
          <wp:inline distB="19050" distT="19050" distL="19050" distR="19050">
            <wp:extent cx="571897" cy="216050"/>
            <wp:effectExtent b="0" l="0" r="0" t="0"/>
            <wp:docPr id="50"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71897" cy="21605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0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Cost Performance Index (CPI)</w:t>
      </w:r>
      <w:r w:rsidDel="00000000" w:rsidR="00000000" w:rsidRPr="00000000">
        <w:rPr>
          <w:rFonts w:ascii="Google Sans Text" w:cs="Google Sans Text" w:eastAsia="Google Sans Text" w:hAnsi="Google Sans Text"/>
          <w:color w:val="1f1f1f"/>
          <w:rtl w:val="0"/>
        </w:rPr>
        <w:t xml:space="preserve">: Efficiency of budget utilization.</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10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Estimated Portfolio ROI</w:t>
      </w:r>
      <w:r w:rsidDel="00000000" w:rsidR="00000000" w:rsidRPr="00000000">
        <w:rPr>
          <w:rFonts w:ascii="Google Sans Text" w:cs="Google Sans Text" w:eastAsia="Google Sans Text" w:hAnsi="Google Sans Text"/>
          <w:color w:val="1f1f1f"/>
          <w:rtl w:val="0"/>
        </w:rPr>
        <w:t xml:space="preserve">: Projected return across multiple facility sites.</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10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Benefit Realization Forecast</w:t>
      </w:r>
      <w:r w:rsidDel="00000000" w:rsidR="00000000" w:rsidRPr="00000000">
        <w:rPr>
          <w:rFonts w:ascii="Google Sans Text" w:cs="Google Sans Text" w:eastAsia="Google Sans Text" w:hAnsi="Google Sans Text"/>
          <w:color w:val="1f1f1f"/>
          <w:rtl w:val="0"/>
        </w:rPr>
        <w:t xml:space="preserve">: Likelihood of achieving stated strategic goals.</w:t>
      </w:r>
      <w:r w:rsidDel="00000000" w:rsidR="00000000" w:rsidRPr="00000000">
        <w:rPr>
          <w:rFonts w:ascii="Google Sans Text" w:cs="Google Sans Text" w:eastAsia="Google Sans Text" w:hAnsi="Google Sans Text"/>
          <w:color w:val="444746"/>
          <w:sz w:val="24"/>
          <w:szCs w:val="24"/>
          <w:vertAlign w:val="superscript"/>
          <w:rtl w:val="0"/>
        </w:rPr>
        <w:t xml:space="preserve">66</w:t>
      </w:r>
    </w:p>
    <w:p w:rsidR="00000000" w:rsidDel="00000000" w:rsidP="00000000" w:rsidRDefault="00000000" w:rsidRPr="00000000" w14:paraId="0000010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Risk Exposure Index (REI)</w:t>
      </w:r>
      <w:r w:rsidDel="00000000" w:rsidR="00000000" w:rsidRPr="00000000">
        <w:rPr>
          <w:rFonts w:ascii="Google Sans Text" w:cs="Google Sans Text" w:eastAsia="Google Sans Text" w:hAnsi="Google Sans Text"/>
          <w:color w:val="1f1f1f"/>
          <w:rtl w:val="0"/>
        </w:rPr>
        <w:t xml:space="preserve">: Standardized score of total facility vulnerability.</w:t>
      </w:r>
      <w:r w:rsidDel="00000000" w:rsidR="00000000" w:rsidRPr="00000000">
        <w:rPr>
          <w:rFonts w:ascii="Google Sans Text" w:cs="Google Sans Text" w:eastAsia="Google Sans Text" w:hAnsi="Google Sans Text"/>
          <w:color w:val="444746"/>
          <w:sz w:val="24"/>
          <w:szCs w:val="24"/>
          <w:vertAlign w:val="superscript"/>
          <w:rtl w:val="0"/>
        </w:rPr>
        <w:t xml:space="preserve">72</w:t>
      </w:r>
    </w:p>
    <w:p w:rsidR="00000000" w:rsidDel="00000000" w:rsidP="00000000" w:rsidRDefault="00000000" w:rsidRPr="00000000" w14:paraId="0000010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Predicted MTTD</w:t>
      </w:r>
      <w:r w:rsidDel="00000000" w:rsidR="00000000" w:rsidRPr="00000000">
        <w:rPr>
          <w:rFonts w:ascii="Google Sans Text" w:cs="Google Sans Text" w:eastAsia="Google Sans Text" w:hAnsi="Google Sans Text"/>
          <w:color w:val="1f1f1f"/>
          <w:rtl w:val="0"/>
        </w:rPr>
        <w:t xml:space="preserve">: Forecasted detection speed based on intelligence maturity.</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10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Detection Quality Index (DQI)</w:t>
      </w:r>
      <w:r w:rsidDel="00000000" w:rsidR="00000000" w:rsidRPr="00000000">
        <w:rPr>
          <w:rFonts w:ascii="Google Sans Text" w:cs="Google Sans Text" w:eastAsia="Google Sans Text" w:hAnsi="Google Sans Text"/>
          <w:color w:val="1f1f1f"/>
          <w:rtl w:val="0"/>
        </w:rPr>
        <w:t xml:space="preserve">: Quality of the facility’s monitoring alerts.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0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Maturity Level Classification</w:t>
      </w:r>
      <w:r w:rsidDel="00000000" w:rsidR="00000000" w:rsidRPr="00000000">
        <w:rPr>
          <w:rFonts w:ascii="Google Sans Text" w:cs="Google Sans Text" w:eastAsia="Google Sans Text" w:hAnsi="Google Sans Text"/>
          <w:color w:val="1f1f1f"/>
          <w:rtl w:val="0"/>
        </w:rPr>
        <w:t xml:space="preserve">: Final 1-5 rank (e.g., "Predictive / Level 5").</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Scrollytelling and UI Design</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"Executive UX" must transition from data entry to "Scenario Analysis." C-level users are primarily interested in the "What If" questions: "What if we increase our heat reuse to 20%? How does that impact our Green Financing eligibility?"</w:t>
      </w:r>
    </w:p>
    <w:p w:rsidR="00000000" w:rsidDel="00000000" w:rsidP="00000000" w:rsidRDefault="00000000" w:rsidRPr="00000000" w14:paraId="0000011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Maturity Dial</w:t>
      </w:r>
      <w:r w:rsidDel="00000000" w:rsidR="00000000" w:rsidRPr="00000000">
        <w:rPr>
          <w:rFonts w:ascii="Google Sans Text" w:cs="Google Sans Text" w:eastAsia="Google Sans Text" w:hAnsi="Google Sans Text"/>
          <w:color w:val="1f1f1f"/>
          <w:rtl w:val="0"/>
        </w:rPr>
        <w:t xml:space="preserve">: A center-screen animation that updates in real-time as inputs are adjusted, showing the "Dial Movement" from Reactive to Predictive.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11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Monte Carlo Sink</w:t>
      </w:r>
      <w:r w:rsidDel="00000000" w:rsidR="00000000" w:rsidRPr="00000000">
        <w:rPr>
          <w:rFonts w:ascii="Google Sans Text" w:cs="Google Sans Text" w:eastAsia="Google Sans Text" w:hAnsi="Google Sans Text"/>
          <w:color w:val="1f1f1f"/>
          <w:rtl w:val="0"/>
        </w:rPr>
        <w:t xml:space="preserve">: A visualization showing a bell curve of annual revenue, with the "Left Tail" indicating the financial impact of catastrophic immaturity (downtime/fines).</w:t>
      </w:r>
      <w:r w:rsidDel="00000000" w:rsidR="00000000" w:rsidRPr="00000000">
        <w:rPr>
          <w:rFonts w:ascii="Google Sans Text" w:cs="Google Sans Text" w:eastAsia="Google Sans Text" w:hAnsi="Google Sans Text"/>
          <w:color w:val="444746"/>
          <w:sz w:val="24"/>
          <w:szCs w:val="24"/>
          <w:vertAlign w:val="superscript"/>
          <w:rtl w:val="0"/>
        </w:rPr>
        <w:t xml:space="preserve">74</w:t>
      </w:r>
    </w:p>
    <w:p w:rsidR="00000000" w:rsidDel="00000000" w:rsidP="00000000" w:rsidRDefault="00000000" w:rsidRPr="00000000" w14:paraId="0000011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Radar Sustainability Charts</w:t>
      </w:r>
      <w:r w:rsidDel="00000000" w:rsidR="00000000" w:rsidRPr="00000000">
        <w:rPr>
          <w:rFonts w:ascii="Google Sans Text" w:cs="Google Sans Text" w:eastAsia="Google Sans Text" w:hAnsi="Google Sans Text"/>
          <w:color w:val="1f1f1f"/>
          <w:rtl w:val="0"/>
        </w:rPr>
        <w:t xml:space="preserve">: Overlaying current performance with regulatory targets for EED Article 12, visualizing the "Gap to Compliance".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1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Heatmap of 30 Parameters</w:t>
      </w:r>
      <w:r w:rsidDel="00000000" w:rsidR="00000000" w:rsidRPr="00000000">
        <w:rPr>
          <w:rFonts w:ascii="Google Sans Text" w:cs="Google Sans Text" w:eastAsia="Google Sans Text" w:hAnsi="Google Sans Text"/>
          <w:color w:val="1f1f1f"/>
          <w:rtl w:val="0"/>
        </w:rPr>
        <w:t xml:space="preserve">: A high-density grid where color codes (Red/Yellow/Green) immediately signal to a Mid-Senior manager where to focus their operational efforts.</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PDF Export: A "Board-Ready" Investment Case</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 Mode export function is a dynamic document generator. It does not just output the results; it structures them as a formal business case for the Board of Directors.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report includes:</w:t>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Executive Summary</w:t>
      </w:r>
      <w:r w:rsidDel="00000000" w:rsidR="00000000" w:rsidRPr="00000000">
        <w:rPr>
          <w:rFonts w:ascii="Google Sans Text" w:cs="Google Sans Text" w:eastAsia="Google Sans Text" w:hAnsi="Google Sans Text"/>
          <w:color w:val="1f1f1f"/>
          <w:rtl w:val="0"/>
        </w:rPr>
        <w:t xml:space="preserve">: A one-page synthesis of the financial and regulatory implications of the facility's current maturity.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Regulatory Scorecard</w:t>
      </w:r>
      <w:r w:rsidDel="00000000" w:rsidR="00000000" w:rsidRPr="00000000">
        <w:rPr>
          <w:rFonts w:ascii="Google Sans Text" w:cs="Google Sans Text" w:eastAsia="Google Sans Text" w:hAnsi="Google Sans Text"/>
          <w:color w:val="1f1f1f"/>
          <w:rtl w:val="0"/>
        </w:rPr>
        <w:t xml:space="preserve">: A point-by-point verification against EED and AI Act Article 12, designed for legal and compliance review.</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1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Investment Roadmap</w:t>
      </w:r>
      <w:r w:rsidDel="00000000" w:rsidR="00000000" w:rsidRPr="00000000">
        <w:rPr>
          <w:rFonts w:ascii="Google Sans Text" w:cs="Google Sans Text" w:eastAsia="Google Sans Text" w:hAnsi="Google Sans Text"/>
          <w:color w:val="1f1f1f"/>
          <w:rtl w:val="0"/>
        </w:rPr>
        <w:t xml:space="preserve">: A multi-year plan prioritizing high-ROI maturity enhancements, such as automated alarm management (97% noise reduction) and leadership development (700% ROI).</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11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 Orchestrating the "Zero Resistance" Strategy</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advancement of the ResistanceZero Article 12 framework into a Pro and Executive analytical engine represents the final step in the professionalization of data center operations. By unifying the technical telemetry of energy and AI with the financial and human capital metrics that govern an organization, the platform enables a "Zero Resistance" path to high-maturity status.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Mid-Senior leadership, the Pro Mode provides the mathematical rigor—DQI formulas, MTBF curves, and normalized PUE—needed to manage complex systems with precision.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For the C-level, the tool delivers the ultimate leadership multiplier: clarity.</w:t>
      </w:r>
      <w:r w:rsidDel="00000000" w:rsidR="00000000" w:rsidRPr="00000000">
        <w:rPr>
          <w:rFonts w:ascii="Google Sans Text" w:cs="Google Sans Text" w:eastAsia="Google Sans Text" w:hAnsi="Google Sans Text"/>
          <w:color w:val="444746"/>
          <w:sz w:val="24"/>
          <w:szCs w:val="24"/>
          <w:vertAlign w:val="superscript"/>
          <w:rtl w:val="0"/>
        </w:rPr>
        <w:t xml:space="preserve">77</w:t>
      </w:r>
      <w:r w:rsidDel="00000000" w:rsidR="00000000" w:rsidRPr="00000000">
        <w:rPr>
          <w:rFonts w:ascii="Google Sans Text" w:cs="Google Sans Text" w:eastAsia="Google Sans Text" w:hAnsi="Google Sans Text"/>
          <w:color w:val="1f1f1f"/>
          <w:rtl w:val="0"/>
        </w:rPr>
        <w:t xml:space="preserve"> In a world where data centers are both the target of extreme regulation and the engine of AI innovation, achieving high operational maturity is no longer a goal—it is a strategic imperative for the survival and growth of the modern enterprise.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11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Communication on the European Green Deal - EUR-Lex, accessed February 16, 2026, </w:t>
      </w:r>
      <w:hyperlink r:id="rId57">
        <w:r w:rsidDel="00000000" w:rsidR="00000000" w:rsidRPr="00000000">
          <w:rPr>
            <w:rFonts w:ascii="Google Sans" w:cs="Google Sans" w:eastAsia="Google Sans" w:hAnsi="Google Sans"/>
            <w:color w:val="0000ee"/>
            <w:sz w:val="24"/>
            <w:szCs w:val="24"/>
            <w:u w:val="single"/>
            <w:rtl w:val="0"/>
          </w:rPr>
          <w:t xml:space="preserve">https://eur-lex.europa.eu/legal-content/EN/TXT/HTML/?uri=PI_COM:Ares(2023)8478399</w:t>
        </w:r>
      </w:hyperlink>
      <w:r w:rsidDel="00000000" w:rsidR="00000000" w:rsidRPr="00000000">
        <w:rPr>
          <w:rtl w:val="0"/>
        </w:rPr>
      </w:r>
    </w:p>
    <w:p w:rsidR="00000000" w:rsidDel="00000000" w:rsidP="00000000" w:rsidRDefault="00000000" w:rsidRPr="00000000" w14:paraId="0000011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12: Record-Keeping | EU Artificial Intelligence Act, accessed February 16, 2026, </w:t>
      </w:r>
      <w:hyperlink r:id="rId58">
        <w:r w:rsidDel="00000000" w:rsidR="00000000" w:rsidRPr="00000000">
          <w:rPr>
            <w:rFonts w:ascii="Google Sans" w:cs="Google Sans" w:eastAsia="Google Sans" w:hAnsi="Google Sans"/>
            <w:color w:val="0000ee"/>
            <w:sz w:val="24"/>
            <w:szCs w:val="24"/>
            <w:u w:val="single"/>
            <w:rtl w:val="0"/>
          </w:rPr>
          <w:t xml:space="preserve">https://artificialintelligenceact.eu/article/12/</w:t>
        </w:r>
      </w:hyperlink>
      <w:r w:rsidDel="00000000" w:rsidR="00000000" w:rsidRPr="00000000">
        <w:rPr>
          <w:rtl w:val="0"/>
        </w:rPr>
      </w:r>
    </w:p>
    <w:p w:rsidR="00000000" w:rsidDel="00000000" w:rsidP="00000000" w:rsidRDefault="00000000" w:rsidRPr="00000000" w14:paraId="0000012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SOC Maturity Framework 2026 — Redefining Compliance and Audit Readiness, accessed February 16, 2026, </w:t>
      </w:r>
      <w:hyperlink r:id="rId59">
        <w:r w:rsidDel="00000000" w:rsidR="00000000" w:rsidRPr="00000000">
          <w:rPr>
            <w:rFonts w:ascii="Google Sans" w:cs="Google Sans" w:eastAsia="Google Sans" w:hAnsi="Google Sans"/>
            <w:color w:val="0000ee"/>
            <w:sz w:val="24"/>
            <w:szCs w:val="24"/>
            <w:u w:val="single"/>
            <w:rtl w:val="0"/>
          </w:rPr>
          <w:t xml:space="preserve">https://softenger.com/the-soc-maturity-framework-2026-redefining-compliance-and-audit-readiness/</w:t>
        </w:r>
      </w:hyperlink>
      <w:r w:rsidDel="00000000" w:rsidR="00000000" w:rsidRPr="00000000">
        <w:rPr>
          <w:rtl w:val="0"/>
        </w:rPr>
      </w:r>
    </w:p>
    <w:p w:rsidR="00000000" w:rsidDel="00000000" w:rsidP="00000000" w:rsidRDefault="00000000" w:rsidRPr="00000000" w14:paraId="0000012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Bagus Dwi Permana | Engineering Operations Manager &amp; Ahli K3 ..., accessed February 16, 2026, </w:t>
      </w:r>
      <w:hyperlink r:id="rId60">
        <w:r w:rsidDel="00000000" w:rsidR="00000000" w:rsidRPr="00000000">
          <w:rPr>
            <w:rFonts w:ascii="Google Sans" w:cs="Google Sans" w:eastAsia="Google Sans" w:hAnsi="Google Sans"/>
            <w:color w:val="0000ee"/>
            <w:sz w:val="24"/>
            <w:szCs w:val="24"/>
            <w:u w:val="single"/>
            <w:rtl w:val="0"/>
          </w:rPr>
          <w:t xml:space="preserve">https://baguspermana7-cpu.github.io/bfrfranco.github.io/</w:t>
        </w:r>
      </w:hyperlink>
      <w:r w:rsidDel="00000000" w:rsidR="00000000" w:rsidRPr="00000000">
        <w:rPr>
          <w:rtl w:val="0"/>
        </w:rPr>
      </w:r>
    </w:p>
    <w:p w:rsidR="00000000" w:rsidDel="00000000" w:rsidP="00000000" w:rsidRDefault="00000000" w:rsidRPr="00000000" w14:paraId="0000012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Centre Energy and Sustainability Performance Reporting Obligations, accessed February 16, 2026, </w:t>
      </w:r>
      <w:hyperlink r:id="rId61">
        <w:r w:rsidDel="00000000" w:rsidR="00000000" w:rsidRPr="00000000">
          <w:rPr>
            <w:rFonts w:ascii="Google Sans" w:cs="Google Sans" w:eastAsia="Google Sans" w:hAnsi="Google Sans"/>
            <w:color w:val="0000ee"/>
            <w:sz w:val="24"/>
            <w:szCs w:val="24"/>
            <w:u w:val="single"/>
            <w:rtl w:val="0"/>
          </w:rPr>
          <w:t xml:space="preserve">https://www.gov.ie/en/department-of-climate-energy-and-the-environment/publications/data-centre-energy-and-sustainability-performance-reporting-obligations/</w:t>
        </w:r>
      </w:hyperlink>
      <w:r w:rsidDel="00000000" w:rsidR="00000000" w:rsidRPr="00000000">
        <w:rPr>
          <w:rtl w:val="0"/>
        </w:rPr>
      </w:r>
    </w:p>
    <w:p w:rsidR="00000000" w:rsidDel="00000000" w:rsidP="00000000" w:rsidRDefault="00000000" w:rsidRPr="00000000" w14:paraId="0000012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Efficiency Directive | eudca.org, accessed February 16, 2026, </w:t>
      </w:r>
      <w:hyperlink r:id="rId62">
        <w:r w:rsidDel="00000000" w:rsidR="00000000" w:rsidRPr="00000000">
          <w:rPr>
            <w:rFonts w:ascii="Google Sans" w:cs="Google Sans" w:eastAsia="Google Sans" w:hAnsi="Google Sans"/>
            <w:color w:val="0000ee"/>
            <w:sz w:val="24"/>
            <w:szCs w:val="24"/>
            <w:u w:val="single"/>
            <w:rtl w:val="0"/>
          </w:rPr>
          <w:t xml:space="preserve">https://www.eudca.org/energy-efficiency-directive</w:t>
        </w:r>
      </w:hyperlink>
      <w:r w:rsidDel="00000000" w:rsidR="00000000" w:rsidRPr="00000000">
        <w:rPr>
          <w:rtl w:val="0"/>
        </w:rPr>
      </w:r>
    </w:p>
    <w:p w:rsidR="00000000" w:rsidDel="00000000" w:rsidP="00000000" w:rsidRDefault="00000000" w:rsidRPr="00000000" w14:paraId="0000012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7842/24 PZ/ID/ns TREE.2.B Delegations will find attached document C(2024) 1639 final. Encl. - Data - European Union, accessed February 16, 2026, </w:t>
      </w:r>
      <w:hyperlink r:id="rId63">
        <w:r w:rsidDel="00000000" w:rsidR="00000000" w:rsidRPr="00000000">
          <w:rPr>
            <w:rFonts w:ascii="Google Sans" w:cs="Google Sans" w:eastAsia="Google Sans" w:hAnsi="Google Sans"/>
            <w:color w:val="0000ee"/>
            <w:sz w:val="24"/>
            <w:szCs w:val="24"/>
            <w:u w:val="single"/>
            <w:rtl w:val="0"/>
          </w:rPr>
          <w:t xml:space="preserve">https://data.consilium.europa.eu/doc/document/ST-7842-2024-INIT/en/pdf</w:t>
        </w:r>
      </w:hyperlink>
      <w:r w:rsidDel="00000000" w:rsidR="00000000" w:rsidRPr="00000000">
        <w:rPr>
          <w:rtl w:val="0"/>
        </w:rPr>
      </w:r>
    </w:p>
    <w:p w:rsidR="00000000" w:rsidDel="00000000" w:rsidP="00000000" w:rsidRDefault="00000000" w:rsidRPr="00000000" w14:paraId="0000012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Commission adopts EU-wide scheme for rating sustainability of data centres - Energy, accessed February 16, 2026, </w:t>
      </w:r>
      <w:hyperlink r:id="rId64">
        <w:r w:rsidDel="00000000" w:rsidR="00000000" w:rsidRPr="00000000">
          <w:rPr>
            <w:rFonts w:ascii="Google Sans" w:cs="Google Sans" w:eastAsia="Google Sans" w:hAnsi="Google Sans"/>
            <w:color w:val="0000ee"/>
            <w:sz w:val="24"/>
            <w:szCs w:val="24"/>
            <w:u w:val="single"/>
            <w:rtl w:val="0"/>
          </w:rPr>
          <w:t xml:space="preserve">https://energy.ec.europa.eu/news/commission-adopts-eu-wide-scheme-rating-sustainability-data-centres-2024-03-15_en</w:t>
        </w:r>
      </w:hyperlink>
      <w:r w:rsidDel="00000000" w:rsidR="00000000" w:rsidRPr="00000000">
        <w:rPr>
          <w:rtl w:val="0"/>
        </w:rPr>
      </w:r>
    </w:p>
    <w:p w:rsidR="00000000" w:rsidDel="00000000" w:rsidP="00000000" w:rsidRDefault="00000000" w:rsidRPr="00000000" w14:paraId="0000012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EU AI Act Compliance through Observability | New Relic, accessed February 16, 2026, </w:t>
      </w:r>
      <w:hyperlink r:id="rId65">
        <w:r w:rsidDel="00000000" w:rsidR="00000000" w:rsidRPr="00000000">
          <w:rPr>
            <w:rFonts w:ascii="Google Sans" w:cs="Google Sans" w:eastAsia="Google Sans" w:hAnsi="Google Sans"/>
            <w:color w:val="0000ee"/>
            <w:sz w:val="24"/>
            <w:szCs w:val="24"/>
            <w:u w:val="single"/>
            <w:rtl w:val="0"/>
          </w:rPr>
          <w:t xml:space="preserve">https://newrelic.com/blog/ai/the-eu-artificial-intelligence-act-and-observability</w:t>
        </w:r>
      </w:hyperlink>
      <w:r w:rsidDel="00000000" w:rsidR="00000000" w:rsidRPr="00000000">
        <w:rPr>
          <w:rtl w:val="0"/>
        </w:rPr>
      </w:r>
    </w:p>
    <w:p w:rsidR="00000000" w:rsidDel="00000000" w:rsidP="00000000" w:rsidRDefault="00000000" w:rsidRPr="00000000" w14:paraId="0000012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Record-Keeping - Practical AI Act Guide, accessed February 16, 2026, </w:t>
      </w:r>
      <w:hyperlink r:id="rId66">
        <w:r w:rsidDel="00000000" w:rsidR="00000000" w:rsidRPr="00000000">
          <w:rPr>
            <w:rFonts w:ascii="Google Sans" w:cs="Google Sans" w:eastAsia="Google Sans" w:hAnsi="Google Sans"/>
            <w:color w:val="0000ee"/>
            <w:sz w:val="24"/>
            <w:szCs w:val="24"/>
            <w:u w:val="single"/>
            <w:rtl w:val="0"/>
          </w:rPr>
          <w:t xml:space="preserve">https://practical-ai-act.eu/latest/conformity/record-keeping/</w:t>
        </w:r>
      </w:hyperlink>
      <w:r w:rsidDel="00000000" w:rsidR="00000000" w:rsidRPr="00000000">
        <w:rPr>
          <w:rtl w:val="0"/>
        </w:rPr>
      </w:r>
    </w:p>
    <w:p w:rsidR="00000000" w:rsidDel="00000000" w:rsidP="00000000" w:rsidRDefault="00000000" w:rsidRPr="00000000" w14:paraId="0000012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12: Record-Keeping | AI Act made searchable by Algolia. Chapters, articles and recitals easily readable, accessed February 16, 2026, </w:t>
      </w:r>
      <w:hyperlink r:id="rId67">
        <w:r w:rsidDel="00000000" w:rsidR="00000000" w:rsidRPr="00000000">
          <w:rPr>
            <w:rFonts w:ascii="Google Sans" w:cs="Google Sans" w:eastAsia="Google Sans" w:hAnsi="Google Sans"/>
            <w:color w:val="0000ee"/>
            <w:sz w:val="24"/>
            <w:szCs w:val="24"/>
            <w:u w:val="single"/>
            <w:rtl w:val="0"/>
          </w:rPr>
          <w:t xml:space="preserve">https://aiact.algolia.com/article-12/</w:t>
        </w:r>
      </w:hyperlink>
      <w:r w:rsidDel="00000000" w:rsidR="00000000" w:rsidRPr="00000000">
        <w:rPr>
          <w:rtl w:val="0"/>
        </w:rPr>
      </w:r>
    </w:p>
    <w:p w:rsidR="00000000" w:rsidDel="00000000" w:rsidP="00000000" w:rsidRDefault="00000000" w:rsidRPr="00000000" w14:paraId="0000012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Demonstrating Compliance With EU AI Act Article 12 Record Keeping Using ISO 42001 Governance Controls - ISMS.online, accessed February 16, 2026, </w:t>
      </w:r>
      <w:hyperlink r:id="rId68">
        <w:r w:rsidDel="00000000" w:rsidR="00000000" w:rsidRPr="00000000">
          <w:rPr>
            <w:rFonts w:ascii="Google Sans" w:cs="Google Sans" w:eastAsia="Google Sans" w:hAnsi="Google Sans"/>
            <w:color w:val="0000ee"/>
            <w:sz w:val="24"/>
            <w:szCs w:val="24"/>
            <w:u w:val="single"/>
            <w:rtl w:val="0"/>
          </w:rPr>
          <w:t xml:space="preserve">https://www.isms.online/iso-42001/eu-ai-act/article-12/</w:t>
        </w:r>
      </w:hyperlink>
      <w:r w:rsidDel="00000000" w:rsidR="00000000" w:rsidRPr="00000000">
        <w:rPr>
          <w:rtl w:val="0"/>
        </w:rPr>
      </w:r>
    </w:p>
    <w:p w:rsidR="00000000" w:rsidDel="00000000" w:rsidP="00000000" w:rsidRDefault="00000000" w:rsidRPr="00000000" w14:paraId="0000012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Turning regulations into business opportunities, accessed February 16, 2026, </w:t>
      </w:r>
      <w:hyperlink r:id="rId69">
        <w:r w:rsidDel="00000000" w:rsidR="00000000" w:rsidRPr="00000000">
          <w:rPr>
            <w:rFonts w:ascii="Google Sans" w:cs="Google Sans" w:eastAsia="Google Sans" w:hAnsi="Google Sans"/>
            <w:color w:val="0000ee"/>
            <w:sz w:val="24"/>
            <w:szCs w:val="24"/>
            <w:u w:val="single"/>
            <w:rtl w:val="0"/>
          </w:rPr>
          <w:t xml:space="preserve">https://dutchitawards.nl/wp-content/uploads/2024/07/EED_E-book_v6.pdf</w:t>
        </w:r>
      </w:hyperlink>
      <w:r w:rsidDel="00000000" w:rsidR="00000000" w:rsidRPr="00000000">
        <w:rPr>
          <w:rtl w:val="0"/>
        </w:rPr>
      </w:r>
    </w:p>
    <w:p w:rsidR="00000000" w:rsidDel="00000000" w:rsidP="00000000" w:rsidRDefault="00000000" w:rsidRPr="00000000" w14:paraId="0000012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reporting requirements for data center operators introduced by the Delegated Regulation (EU) 2024/1364 - DATACENTER FORUM 2026, accessed February 16, 2026, </w:t>
      </w:r>
      <w:hyperlink r:id="rId70">
        <w:r w:rsidDel="00000000" w:rsidR="00000000" w:rsidRPr="00000000">
          <w:rPr>
            <w:rFonts w:ascii="Google Sans" w:cs="Google Sans" w:eastAsia="Google Sans" w:hAnsi="Google Sans"/>
            <w:color w:val="0000ee"/>
            <w:sz w:val="24"/>
            <w:szCs w:val="24"/>
            <w:u w:val="single"/>
            <w:rtl w:val="0"/>
          </w:rPr>
          <w:t xml:space="preserve">https://datacenter-forum.ro/en/new-reporting-requirements-for-data-center-operators-introduced-by-the-delegated-regulation-eu-2024-1364/</w:t>
        </w:r>
      </w:hyperlink>
      <w:r w:rsidDel="00000000" w:rsidR="00000000" w:rsidRPr="00000000">
        <w:rPr>
          <w:rtl w:val="0"/>
        </w:rPr>
      </w:r>
    </w:p>
    <w:p w:rsidR="00000000" w:rsidDel="00000000" w:rsidP="00000000" w:rsidRDefault="00000000" w:rsidRPr="00000000" w14:paraId="0000012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Data Centre Sustainability Reporting Obligations Introduced through the European Commission Delegated Regulation (EU) 2024/1364 | DLA Piper, accessed February 16, 2026, </w:t>
      </w:r>
      <w:hyperlink r:id="rId71">
        <w:r w:rsidDel="00000000" w:rsidR="00000000" w:rsidRPr="00000000">
          <w:rPr>
            <w:rFonts w:ascii="Google Sans" w:cs="Google Sans" w:eastAsia="Google Sans" w:hAnsi="Google Sans"/>
            <w:color w:val="0000ee"/>
            <w:sz w:val="24"/>
            <w:szCs w:val="24"/>
            <w:u w:val="single"/>
            <w:rtl w:val="0"/>
          </w:rPr>
          <w:t xml:space="preserve">https://www.dlapiper.com/insights/publications/2024/09/new-data-centre-sustainability-reporting-obligations-introduced-through-eu-20241364-regulation</w:t>
        </w:r>
      </w:hyperlink>
      <w:r w:rsidDel="00000000" w:rsidR="00000000" w:rsidRPr="00000000">
        <w:rPr>
          <w:rtl w:val="0"/>
        </w:rPr>
      </w:r>
    </w:p>
    <w:p w:rsidR="00000000" w:rsidDel="00000000" w:rsidP="00000000" w:rsidRDefault="00000000" w:rsidRPr="00000000" w14:paraId="0000012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 AI Act Compliance &amp; Trustworthy AI Systems - explic8, accessed February 16, 2026, </w:t>
      </w:r>
      <w:hyperlink r:id="rId72">
        <w:r w:rsidDel="00000000" w:rsidR="00000000" w:rsidRPr="00000000">
          <w:rPr>
            <w:rFonts w:ascii="Google Sans" w:cs="Google Sans" w:eastAsia="Google Sans" w:hAnsi="Google Sans"/>
            <w:color w:val="0000ee"/>
            <w:sz w:val="24"/>
            <w:szCs w:val="24"/>
            <w:u w:val="single"/>
            <w:rtl w:val="0"/>
          </w:rPr>
          <w:t xml:space="preserve">https://www.explic8.com/eu-ai-act-compliance/</w:t>
        </w:r>
      </w:hyperlink>
      <w:r w:rsidDel="00000000" w:rsidR="00000000" w:rsidRPr="00000000">
        <w:rPr>
          <w:rtl w:val="0"/>
        </w:rPr>
      </w:r>
    </w:p>
    <w:p w:rsidR="00000000" w:rsidDel="00000000" w:rsidP="00000000" w:rsidRDefault="00000000" w:rsidRPr="00000000" w14:paraId="0000012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Fostering better decisions through holistic ROI estimates - McKinsey, accessed February 16, 2026, </w:t>
      </w:r>
      <w:hyperlink r:id="rId73">
        <w:r w:rsidDel="00000000" w:rsidR="00000000" w:rsidRPr="00000000">
          <w:rPr>
            <w:rFonts w:ascii="Google Sans" w:cs="Google Sans" w:eastAsia="Google Sans" w:hAnsi="Google Sans"/>
            <w:color w:val="0000ee"/>
            <w:sz w:val="24"/>
            <w:szCs w:val="24"/>
            <w:u w:val="single"/>
            <w:rtl w:val="0"/>
          </w:rPr>
          <w:t xml:space="preserve">https://www.mckinsey.com/capabilities/strategy-and-corporate-finance/our-insights/fostering-better-decisions-through-holistic-roi-estimates</w:t>
        </w:r>
      </w:hyperlink>
      <w:r w:rsidDel="00000000" w:rsidR="00000000" w:rsidRPr="00000000">
        <w:rPr>
          <w:rtl w:val="0"/>
        </w:rPr>
      </w:r>
    </w:p>
    <w:p w:rsidR="00000000" w:rsidDel="00000000" w:rsidP="00000000" w:rsidRDefault="00000000" w:rsidRPr="00000000" w14:paraId="0000012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Calculating CMMI-Based ROI Why, When, What, and How? - Software Engineering Institute, accessed February 16, 2026, </w:t>
      </w:r>
      <w:hyperlink r:id="rId74">
        <w:r w:rsidDel="00000000" w:rsidR="00000000" w:rsidRPr="00000000">
          <w:rPr>
            <w:rFonts w:ascii="Google Sans" w:cs="Google Sans" w:eastAsia="Google Sans" w:hAnsi="Google Sans"/>
            <w:color w:val="0000ee"/>
            <w:sz w:val="24"/>
            <w:szCs w:val="24"/>
            <w:u w:val="single"/>
            <w:rtl w:val="0"/>
          </w:rPr>
          <w:t xml:space="preserve">https://www.sei.cmu.edu/documents/3283/2006_017_001_23991.pdf</w:t>
        </w:r>
      </w:hyperlink>
      <w:r w:rsidDel="00000000" w:rsidR="00000000" w:rsidRPr="00000000">
        <w:rPr>
          <w:rtl w:val="0"/>
        </w:rPr>
      </w:r>
    </w:p>
    <w:p w:rsidR="00000000" w:rsidDel="00000000" w:rsidP="00000000" w:rsidRDefault="00000000" w:rsidRPr="00000000" w14:paraId="0000013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Risk is the Weak Link in Data Center Construction - Aon, accessed February 16, 2026, </w:t>
      </w:r>
      <w:hyperlink r:id="rId75">
        <w:r w:rsidDel="00000000" w:rsidR="00000000" w:rsidRPr="00000000">
          <w:rPr>
            <w:rFonts w:ascii="Google Sans" w:cs="Google Sans" w:eastAsia="Google Sans" w:hAnsi="Google Sans"/>
            <w:color w:val="0000ee"/>
            <w:sz w:val="24"/>
            <w:szCs w:val="24"/>
            <w:u w:val="single"/>
            <w:rtl w:val="0"/>
          </w:rPr>
          <w:t xml:space="preserve">https://www.aon.com/en/insights/articles/cyber-risk-is-the-weak-link-in-data-center-construction</w:t>
        </w:r>
      </w:hyperlink>
      <w:r w:rsidDel="00000000" w:rsidR="00000000" w:rsidRPr="00000000">
        <w:rPr>
          <w:rtl w:val="0"/>
        </w:rPr>
      </w:r>
    </w:p>
    <w:p w:rsidR="00000000" w:rsidDel="00000000" w:rsidP="00000000" w:rsidRDefault="00000000" w:rsidRPr="00000000" w14:paraId="0000013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Leadership Skills Benefits: Transform Your Organisation, accessed February 16, 2026, </w:t>
      </w:r>
      <w:hyperlink r:id="rId76">
        <w:r w:rsidDel="00000000" w:rsidR="00000000" w:rsidRPr="00000000">
          <w:rPr>
            <w:rFonts w:ascii="Google Sans" w:cs="Google Sans" w:eastAsia="Google Sans" w:hAnsi="Google Sans"/>
            <w:color w:val="0000ee"/>
            <w:sz w:val="24"/>
            <w:szCs w:val="24"/>
            <w:u w:val="single"/>
            <w:rtl w:val="0"/>
          </w:rPr>
          <w:t xml:space="preserve">https://quarterdeck.co.uk/articles/leadership-skills-benefits</w:t>
        </w:r>
      </w:hyperlink>
      <w:r w:rsidDel="00000000" w:rsidR="00000000" w:rsidRPr="00000000">
        <w:rPr>
          <w:rtl w:val="0"/>
        </w:rPr>
      </w:r>
    </w:p>
    <w:p w:rsidR="00000000" w:rsidDel="00000000" w:rsidP="00000000" w:rsidRDefault="00000000" w:rsidRPr="00000000" w14:paraId="0000013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Internet of Things: a UKeiG White Paper - ResearchGate, accessed February 16, 2026, </w:t>
      </w:r>
      <w:hyperlink r:id="rId77">
        <w:r w:rsidDel="00000000" w:rsidR="00000000" w:rsidRPr="00000000">
          <w:rPr>
            <w:rFonts w:ascii="Google Sans" w:cs="Google Sans" w:eastAsia="Google Sans" w:hAnsi="Google Sans"/>
            <w:color w:val="0000ee"/>
            <w:sz w:val="24"/>
            <w:szCs w:val="24"/>
            <w:u w:val="single"/>
            <w:rtl w:val="0"/>
          </w:rPr>
          <w:t xml:space="preserve">https://www.researchgate.net/publication/305464388_The_Internet_of_Things_a_UKeiG_White_Paper</w:t>
        </w:r>
      </w:hyperlink>
      <w:r w:rsidDel="00000000" w:rsidR="00000000" w:rsidRPr="00000000">
        <w:rPr>
          <w:rtl w:val="0"/>
        </w:rPr>
      </w:r>
    </w:p>
    <w:p w:rsidR="00000000" w:rsidDel="00000000" w:rsidP="00000000" w:rsidRDefault="00000000" w:rsidRPr="00000000" w14:paraId="0000013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Shifting From Software To Hardware For Network Security | PDF - Scribd, accessed February 16, 2026, </w:t>
      </w:r>
      <w:hyperlink r:id="rId78">
        <w:r w:rsidDel="00000000" w:rsidR="00000000" w:rsidRPr="00000000">
          <w:rPr>
            <w:rFonts w:ascii="Google Sans" w:cs="Google Sans" w:eastAsia="Google Sans" w:hAnsi="Google Sans"/>
            <w:color w:val="0000ee"/>
            <w:sz w:val="24"/>
            <w:szCs w:val="24"/>
            <w:u w:val="single"/>
            <w:rtl w:val="0"/>
          </w:rPr>
          <w:t xml:space="preserve">https://www.scribd.com/document/554816600/wp-01261-shifting-from-software-to-hardware-for-network-security</w:t>
        </w:r>
      </w:hyperlink>
      <w:r w:rsidDel="00000000" w:rsidR="00000000" w:rsidRPr="00000000">
        <w:rPr>
          <w:rtl w:val="0"/>
        </w:rPr>
      </w:r>
    </w:p>
    <w:p w:rsidR="00000000" w:rsidDel="00000000" w:rsidP="00000000" w:rsidRDefault="00000000" w:rsidRPr="00000000" w14:paraId="0000013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Scoring Methodology - RiskWatch, accessed February 16, 2026, </w:t>
      </w:r>
      <w:hyperlink r:id="rId79">
        <w:r w:rsidDel="00000000" w:rsidR="00000000" w:rsidRPr="00000000">
          <w:rPr>
            <w:rFonts w:ascii="Google Sans" w:cs="Google Sans" w:eastAsia="Google Sans" w:hAnsi="Google Sans"/>
            <w:color w:val="0000ee"/>
            <w:sz w:val="24"/>
            <w:szCs w:val="24"/>
            <w:u w:val="single"/>
            <w:rtl w:val="0"/>
          </w:rPr>
          <w:t xml:space="preserve">https://www.riskwatch.com/risk-scoring-methodology/</w:t>
        </w:r>
      </w:hyperlink>
      <w:r w:rsidDel="00000000" w:rsidR="00000000" w:rsidRPr="00000000">
        <w:rPr>
          <w:rtl w:val="0"/>
        </w:rPr>
      </w:r>
    </w:p>
    <w:p w:rsidR="00000000" w:rsidDel="00000000" w:rsidP="00000000" w:rsidRDefault="00000000" w:rsidRPr="00000000" w14:paraId="0000013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Analysis Calculations: 7 Ways to Determine Cybersecurity Risk Scores - Secureframe, accessed February 16, 2026, </w:t>
      </w:r>
      <w:hyperlink r:id="rId80">
        <w:r w:rsidDel="00000000" w:rsidR="00000000" w:rsidRPr="00000000">
          <w:rPr>
            <w:rFonts w:ascii="Google Sans" w:cs="Google Sans" w:eastAsia="Google Sans" w:hAnsi="Google Sans"/>
            <w:color w:val="0000ee"/>
            <w:sz w:val="24"/>
            <w:szCs w:val="24"/>
            <w:u w:val="single"/>
            <w:rtl w:val="0"/>
          </w:rPr>
          <w:t xml:space="preserve">https://secureframe.com/blog/risk-analysis-calculation</w:t>
        </w:r>
      </w:hyperlink>
      <w:r w:rsidDel="00000000" w:rsidR="00000000" w:rsidRPr="00000000">
        <w:rPr>
          <w:rtl w:val="0"/>
        </w:rPr>
      </w:r>
    </w:p>
    <w:p w:rsidR="00000000" w:rsidDel="00000000" w:rsidP="00000000" w:rsidRDefault="00000000" w:rsidRPr="00000000" w14:paraId="0000013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Mean Time Between Failure Formula And Examples | LLumin, accessed February 16, 2026, </w:t>
      </w:r>
      <w:hyperlink r:id="rId81">
        <w:r w:rsidDel="00000000" w:rsidR="00000000" w:rsidRPr="00000000">
          <w:rPr>
            <w:rFonts w:ascii="Google Sans" w:cs="Google Sans" w:eastAsia="Google Sans" w:hAnsi="Google Sans"/>
            <w:color w:val="0000ee"/>
            <w:sz w:val="24"/>
            <w:szCs w:val="24"/>
            <w:u w:val="single"/>
            <w:rtl w:val="0"/>
          </w:rPr>
          <w:t xml:space="preserve">https://llumin.com/blog/mean-time-between-failure-formula-and-examples-for-asset-management-llu/</w:t>
        </w:r>
      </w:hyperlink>
      <w:r w:rsidDel="00000000" w:rsidR="00000000" w:rsidRPr="00000000">
        <w:rPr>
          <w:rtl w:val="0"/>
        </w:rPr>
      </w:r>
    </w:p>
    <w:p w:rsidR="00000000" w:rsidDel="00000000" w:rsidP="00000000" w:rsidRDefault="00000000" w:rsidRPr="00000000" w14:paraId="0000013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MTBF Formula: The Ultimate Guide to Improving Asset Reliability - Factory AI, accessed February 16, 2026, </w:t>
      </w:r>
      <w:hyperlink r:id="rId82">
        <w:r w:rsidDel="00000000" w:rsidR="00000000" w:rsidRPr="00000000">
          <w:rPr>
            <w:rFonts w:ascii="Google Sans" w:cs="Google Sans" w:eastAsia="Google Sans" w:hAnsi="Google Sans"/>
            <w:color w:val="0000ee"/>
            <w:sz w:val="24"/>
            <w:szCs w:val="24"/>
            <w:u w:val="single"/>
            <w:rtl w:val="0"/>
          </w:rPr>
          <w:t xml:space="preserve">https://f7i.ai/blog/the-mtbf-formula-your-strategic-guide-to-unlocking-peak-reliability-in-2025</w:t>
        </w:r>
      </w:hyperlink>
      <w:r w:rsidDel="00000000" w:rsidR="00000000" w:rsidRPr="00000000">
        <w:rPr>
          <w:rtl w:val="0"/>
        </w:rPr>
      </w:r>
    </w:p>
    <w:p w:rsidR="00000000" w:rsidDel="00000000" w:rsidP="00000000" w:rsidRDefault="00000000" w:rsidRPr="00000000" w14:paraId="0000013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11 Data Breaches of 2024 by Risk Exposure Score - Kiteworks, accessed February 16, 2026, </w:t>
      </w:r>
      <w:hyperlink r:id="rId83">
        <w:r w:rsidDel="00000000" w:rsidR="00000000" w:rsidRPr="00000000">
          <w:rPr>
            <w:rFonts w:ascii="Google Sans" w:cs="Google Sans" w:eastAsia="Google Sans" w:hAnsi="Google Sans"/>
            <w:color w:val="0000ee"/>
            <w:sz w:val="24"/>
            <w:szCs w:val="24"/>
            <w:u w:val="single"/>
            <w:rtl w:val="0"/>
          </w:rPr>
          <w:t xml:space="preserve">https://www.kiteworks.com/top-11-data-breaches-2024-risk-score/</w:t>
        </w:r>
      </w:hyperlink>
      <w:r w:rsidDel="00000000" w:rsidR="00000000" w:rsidRPr="00000000">
        <w:rPr>
          <w:rtl w:val="0"/>
        </w:rPr>
      </w:r>
    </w:p>
    <w:p w:rsidR="00000000" w:rsidDel="00000000" w:rsidP="00000000" w:rsidRDefault="00000000" w:rsidRPr="00000000" w14:paraId="0000013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the operational maturity model: assessing your efficiency, accessed February 16, 2026, </w:t>
      </w:r>
      <w:hyperlink r:id="rId84">
        <w:r w:rsidDel="00000000" w:rsidR="00000000" w:rsidRPr="00000000">
          <w:rPr>
            <w:rFonts w:ascii="Google Sans" w:cs="Google Sans" w:eastAsia="Google Sans" w:hAnsi="Google Sans"/>
            <w:color w:val="0000ee"/>
            <w:sz w:val="24"/>
            <w:szCs w:val="24"/>
            <w:u w:val="single"/>
            <w:rtl w:val="0"/>
          </w:rPr>
          <w:t xml:space="preserve">https://www.port.io/blog/using-an-operational-maturity-model</w:t>
        </w:r>
      </w:hyperlink>
      <w:r w:rsidDel="00000000" w:rsidR="00000000" w:rsidRPr="00000000">
        <w:rPr>
          <w:rtl w:val="0"/>
        </w:rPr>
      </w:r>
    </w:p>
    <w:p w:rsidR="00000000" w:rsidDel="00000000" w:rsidP="00000000" w:rsidRDefault="00000000" w:rsidRPr="00000000" w14:paraId="0000013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Fulfillment ROI™: Why Well-Being Is Your Competitive Advantage in 2025 - Amy Vetter, accessed February 16, 2026, </w:t>
      </w:r>
      <w:hyperlink r:id="rId85">
        <w:r w:rsidDel="00000000" w:rsidR="00000000" w:rsidRPr="00000000">
          <w:rPr>
            <w:rFonts w:ascii="Google Sans" w:cs="Google Sans" w:eastAsia="Google Sans" w:hAnsi="Google Sans"/>
            <w:color w:val="0000ee"/>
            <w:sz w:val="24"/>
            <w:szCs w:val="24"/>
            <w:u w:val="single"/>
            <w:rtl w:val="0"/>
          </w:rPr>
          <w:t xml:space="preserve">https://www.amyvetter.com/blog/the-fulfillment-roi</w:t>
        </w:r>
      </w:hyperlink>
      <w:r w:rsidDel="00000000" w:rsidR="00000000" w:rsidRPr="00000000">
        <w:rPr>
          <w:rtl w:val="0"/>
        </w:rPr>
      </w:r>
    </w:p>
    <w:p w:rsidR="00000000" w:rsidDel="00000000" w:rsidP="00000000" w:rsidRDefault="00000000" w:rsidRPr="00000000" w14:paraId="0000013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Act Service Desk - Article 12: Record-keeping - European Union, accessed February 16, 2026, </w:t>
      </w:r>
      <w:hyperlink r:id="rId86">
        <w:r w:rsidDel="00000000" w:rsidR="00000000" w:rsidRPr="00000000">
          <w:rPr>
            <w:rFonts w:ascii="Google Sans" w:cs="Google Sans" w:eastAsia="Google Sans" w:hAnsi="Google Sans"/>
            <w:color w:val="0000ee"/>
            <w:sz w:val="24"/>
            <w:szCs w:val="24"/>
            <w:u w:val="single"/>
            <w:rtl w:val="0"/>
          </w:rPr>
          <w:t xml:space="preserve">https://ai-act-service-desk.ec.europa.eu/en/ai-act/article-12</w:t>
        </w:r>
      </w:hyperlink>
      <w:r w:rsidDel="00000000" w:rsidR="00000000" w:rsidRPr="00000000">
        <w:rPr>
          <w:rtl w:val="0"/>
        </w:rPr>
      </w:r>
    </w:p>
    <w:p w:rsidR="00000000" w:rsidDel="00000000" w:rsidP="00000000" w:rsidRDefault="00000000" w:rsidRPr="00000000" w14:paraId="0000013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Definitive Guide to AI-Powered Compliance Systems: From Architecture to Audit, accessed February 16, 2026, </w:t>
      </w:r>
      <w:hyperlink r:id="rId87">
        <w:r w:rsidDel="00000000" w:rsidR="00000000" w:rsidRPr="00000000">
          <w:rPr>
            <w:rFonts w:ascii="Google Sans" w:cs="Google Sans" w:eastAsia="Google Sans" w:hAnsi="Google Sans"/>
            <w:color w:val="0000ee"/>
            <w:sz w:val="24"/>
            <w:szCs w:val="24"/>
            <w:u w:val="single"/>
            <w:rtl w:val="0"/>
          </w:rPr>
          <w:t xml:space="preserve">https://www.complianceandrisks.com/blog/the-definitive-guide-to-ai-powered-compliance-systems-from-architecture-to-audit/</w:t>
        </w:r>
      </w:hyperlink>
      <w:r w:rsidDel="00000000" w:rsidR="00000000" w:rsidRPr="00000000">
        <w:rPr>
          <w:rtl w:val="0"/>
        </w:rPr>
      </w:r>
    </w:p>
    <w:p w:rsidR="00000000" w:rsidDel="00000000" w:rsidP="00000000" w:rsidRDefault="00000000" w:rsidRPr="00000000" w14:paraId="0000013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Ternary Moral Logic (TML) and the EU AI Act - SSRN, accessed February 16, 2026, </w:t>
      </w:r>
      <w:hyperlink r:id="rId88">
        <w:r w:rsidDel="00000000" w:rsidR="00000000" w:rsidRPr="00000000">
          <w:rPr>
            <w:rFonts w:ascii="Google Sans" w:cs="Google Sans" w:eastAsia="Google Sans" w:hAnsi="Google Sans"/>
            <w:color w:val="0000ee"/>
            <w:sz w:val="24"/>
            <w:szCs w:val="24"/>
            <w:u w:val="single"/>
            <w:rtl w:val="0"/>
          </w:rPr>
          <w:t xml:space="preserve">https://papers.ssrn.com/sol3/Delivery.cfm/SSRN_ID5655090_code8713860.pdf?abstractid=5655090&amp;mirid=1</w:t>
        </w:r>
      </w:hyperlink>
      <w:r w:rsidDel="00000000" w:rsidR="00000000" w:rsidRPr="00000000">
        <w:rPr>
          <w:rtl w:val="0"/>
        </w:rPr>
      </w:r>
    </w:p>
    <w:p w:rsidR="00000000" w:rsidDel="00000000" w:rsidP="00000000" w:rsidRDefault="00000000" w:rsidRPr="00000000" w14:paraId="0000013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30 Cybersecurity Metrics &amp; KPIs Every Company Must Track in 2025 - Strobes, accessed February 16, 2026, </w:t>
      </w:r>
      <w:hyperlink r:id="rId89">
        <w:r w:rsidDel="00000000" w:rsidR="00000000" w:rsidRPr="00000000">
          <w:rPr>
            <w:rFonts w:ascii="Google Sans" w:cs="Google Sans" w:eastAsia="Google Sans" w:hAnsi="Google Sans"/>
            <w:color w:val="0000ee"/>
            <w:sz w:val="24"/>
            <w:szCs w:val="24"/>
            <w:u w:val="single"/>
            <w:rtl w:val="0"/>
          </w:rPr>
          <w:t xml:space="preserve">https://strobes.co/blog/30-cybersecurity-metrics-kpis/</w:t>
        </w:r>
      </w:hyperlink>
      <w:r w:rsidDel="00000000" w:rsidR="00000000" w:rsidRPr="00000000">
        <w:rPr>
          <w:rtl w:val="0"/>
        </w:rPr>
      </w:r>
    </w:p>
    <w:p w:rsidR="00000000" w:rsidDel="00000000" w:rsidP="00000000" w:rsidRDefault="00000000" w:rsidRPr="00000000" w14:paraId="0000013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detailed guide to DC-DC converter selection and design - EEWorld, accessed February 16, 2026, </w:t>
      </w:r>
      <w:hyperlink r:id="rId90">
        <w:r w:rsidDel="00000000" w:rsidR="00000000" w:rsidRPr="00000000">
          <w:rPr>
            <w:rFonts w:ascii="Google Sans" w:cs="Google Sans" w:eastAsia="Google Sans" w:hAnsi="Google Sans"/>
            <w:color w:val="0000ee"/>
            <w:sz w:val="24"/>
            <w:szCs w:val="24"/>
            <w:u w:val="single"/>
            <w:rtl w:val="0"/>
          </w:rPr>
          <w:t xml:space="preserve">https://en.eeworld.com.cn/news/news/eic523675.html</w:t>
        </w:r>
      </w:hyperlink>
      <w:r w:rsidDel="00000000" w:rsidR="00000000" w:rsidRPr="00000000">
        <w:rPr>
          <w:rtl w:val="0"/>
        </w:rPr>
      </w:r>
    </w:p>
    <w:p w:rsidR="00000000" w:rsidDel="00000000" w:rsidP="00000000" w:rsidRDefault="00000000" w:rsidRPr="00000000" w14:paraId="0000014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CGD GaN IC Technology - AWS, accessed February 16, 2026, </w:t>
      </w:r>
      <w:hyperlink r:id="rId91">
        <w:r w:rsidDel="00000000" w:rsidR="00000000" w:rsidRPr="00000000">
          <w:rPr>
            <w:rFonts w:ascii="Google Sans" w:cs="Google Sans" w:eastAsia="Google Sans" w:hAnsi="Google Sans"/>
            <w:color w:val="0000ee"/>
            <w:sz w:val="24"/>
            <w:szCs w:val="24"/>
            <w:u w:val="single"/>
            <w:rtl w:val="0"/>
          </w:rPr>
          <w:t xml:space="preserve">https://camgandevices-images-test.s3.eu-central-1.amazonaws.com/CGD_WP_2201_0e64b3363a.pdf</w:t>
        </w:r>
      </w:hyperlink>
      <w:r w:rsidDel="00000000" w:rsidR="00000000" w:rsidRPr="00000000">
        <w:rPr>
          <w:rtl w:val="0"/>
        </w:rPr>
      </w:r>
    </w:p>
    <w:p w:rsidR="00000000" w:rsidDel="00000000" w:rsidP="00000000" w:rsidRDefault="00000000" w:rsidRPr="00000000" w14:paraId="0000014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Spain Proposes Strict Sustainability Requirements for Data Centers - Global Policy Watch, accessed February 16, 2026, </w:t>
      </w:r>
      <w:hyperlink r:id="rId92">
        <w:r w:rsidDel="00000000" w:rsidR="00000000" w:rsidRPr="00000000">
          <w:rPr>
            <w:rFonts w:ascii="Google Sans" w:cs="Google Sans" w:eastAsia="Google Sans" w:hAnsi="Google Sans"/>
            <w:color w:val="0000ee"/>
            <w:sz w:val="24"/>
            <w:szCs w:val="24"/>
            <w:u w:val="single"/>
            <w:rtl w:val="0"/>
          </w:rPr>
          <w:t xml:space="preserve">https://www.globalpolicywatch.com/2025/09/spain-proposes-strict-sustainability-requirements-for-data-centers/</w:t>
        </w:r>
      </w:hyperlink>
      <w:r w:rsidDel="00000000" w:rsidR="00000000" w:rsidRPr="00000000">
        <w:rPr>
          <w:rtl w:val="0"/>
        </w:rPr>
      </w:r>
    </w:p>
    <w:p w:rsidR="00000000" w:rsidDel="00000000" w:rsidP="00000000" w:rsidRDefault="00000000" w:rsidRPr="00000000" w14:paraId="0000014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EU Framework to National Action: How Germany Regulates Data Center Energy Use, accessed February 16, 2026, </w:t>
      </w:r>
      <w:hyperlink r:id="rId93">
        <w:r w:rsidDel="00000000" w:rsidR="00000000" w:rsidRPr="00000000">
          <w:rPr>
            <w:rFonts w:ascii="Google Sans" w:cs="Google Sans" w:eastAsia="Google Sans" w:hAnsi="Google Sans"/>
            <w:color w:val="0000ee"/>
            <w:sz w:val="24"/>
            <w:szCs w:val="24"/>
            <w:u w:val="single"/>
            <w:rtl w:val="0"/>
          </w:rPr>
          <w:t xml:space="preserve">https://blogs.law.columbia.edu/climatechange/2025/10/24/from-eu-framework-to-national-action-how-germany-regulates-data-center-energy-use/</w:t>
        </w:r>
      </w:hyperlink>
      <w:r w:rsidDel="00000000" w:rsidR="00000000" w:rsidRPr="00000000">
        <w:rPr>
          <w:rtl w:val="0"/>
        </w:rPr>
      </w:r>
    </w:p>
    <w:p w:rsidR="00000000" w:rsidDel="00000000" w:rsidP="00000000" w:rsidRDefault="00000000" w:rsidRPr="00000000" w14:paraId="0000014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EU's Energy Efficiency Directive and Its Impact on Datacenters - Covington &amp; Burling LLP, accessed February 16, 2026, </w:t>
      </w:r>
      <w:hyperlink r:id="rId94">
        <w:r w:rsidDel="00000000" w:rsidR="00000000" w:rsidRPr="00000000">
          <w:rPr>
            <w:rFonts w:ascii="Google Sans" w:cs="Google Sans" w:eastAsia="Google Sans" w:hAnsi="Google Sans"/>
            <w:color w:val="0000ee"/>
            <w:sz w:val="24"/>
            <w:szCs w:val="24"/>
            <w:u w:val="single"/>
            <w:rtl w:val="0"/>
          </w:rPr>
          <w:t xml:space="preserve">https://www.cov.com/-/media/files/corporate/publications/2025/04/the-eus-energy-efficiency-directive-and-its-impact-on-datacenters.pdf</w:t>
        </w:r>
      </w:hyperlink>
      <w:r w:rsidDel="00000000" w:rsidR="00000000" w:rsidRPr="00000000">
        <w:rPr>
          <w:rtl w:val="0"/>
        </w:rPr>
      </w:r>
    </w:p>
    <w:p w:rsidR="00000000" w:rsidDel="00000000" w:rsidP="00000000" w:rsidRDefault="00000000" w:rsidRPr="00000000" w14:paraId="0000014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Commission Delegated Regulation (EU) 2024/1364 of 14 March 2024 on the first phase of the establishment of a common Union rating - EUR-Lex, accessed February 16, 2026, </w:t>
      </w:r>
      <w:hyperlink r:id="rId95">
        <w:r w:rsidDel="00000000" w:rsidR="00000000" w:rsidRPr="00000000">
          <w:rPr>
            <w:rFonts w:ascii="Google Sans" w:cs="Google Sans" w:eastAsia="Google Sans" w:hAnsi="Google Sans"/>
            <w:color w:val="0000ee"/>
            <w:sz w:val="24"/>
            <w:szCs w:val="24"/>
            <w:u w:val="single"/>
            <w:rtl w:val="0"/>
          </w:rPr>
          <w:t xml:space="preserve">https://eur-lex.europa.eu/legal-content/EN/TXT/PDF/?uri=OJ:L_202401364</w:t>
        </w:r>
      </w:hyperlink>
      <w:r w:rsidDel="00000000" w:rsidR="00000000" w:rsidRPr="00000000">
        <w:rPr>
          <w:rtl w:val="0"/>
        </w:rPr>
      </w:r>
    </w:p>
    <w:p w:rsidR="00000000" w:rsidDel="00000000" w:rsidP="00000000" w:rsidRDefault="00000000" w:rsidRPr="00000000" w14:paraId="0000014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self-assessment framework to determine the status quo of enterprises in digital sustainability management - Fraunhofer-Publica, accessed February 16, 2026, </w:t>
      </w:r>
      <w:hyperlink r:id="rId96">
        <w:r w:rsidDel="00000000" w:rsidR="00000000" w:rsidRPr="00000000">
          <w:rPr>
            <w:rFonts w:ascii="Google Sans" w:cs="Google Sans" w:eastAsia="Google Sans" w:hAnsi="Google Sans"/>
            <w:color w:val="0000ee"/>
            <w:sz w:val="24"/>
            <w:szCs w:val="24"/>
            <w:u w:val="single"/>
            <w:rtl w:val="0"/>
          </w:rPr>
          <w:t xml:space="preserve">https://publica.fraunhofer.de/bitstreams/1f9c682c-bfe8-47fb-b48d-e7051a9a32db/download</w:t>
        </w:r>
      </w:hyperlink>
      <w:r w:rsidDel="00000000" w:rsidR="00000000" w:rsidRPr="00000000">
        <w:rPr>
          <w:rtl w:val="0"/>
        </w:rPr>
      </w:r>
    </w:p>
    <w:p w:rsidR="00000000" w:rsidDel="00000000" w:rsidP="00000000" w:rsidRDefault="00000000" w:rsidRPr="00000000" w14:paraId="0000014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 Reporting Scheme for data centres Explained, accessed February 16, 2026, </w:t>
      </w:r>
      <w:hyperlink r:id="rId97">
        <w:r w:rsidDel="00000000" w:rsidR="00000000" w:rsidRPr="00000000">
          <w:rPr>
            <w:rFonts w:ascii="Google Sans" w:cs="Google Sans" w:eastAsia="Google Sans" w:hAnsi="Google Sans"/>
            <w:color w:val="0000ee"/>
            <w:sz w:val="24"/>
            <w:szCs w:val="24"/>
            <w:u w:val="single"/>
            <w:rtl w:val="0"/>
          </w:rPr>
          <w:t xml:space="preserve">https://www.eudca.org/documents/content/_wU9NIdhRn2O7FEPP-YZ2Qo33?download=0</w:t>
        </w:r>
      </w:hyperlink>
      <w:r w:rsidDel="00000000" w:rsidR="00000000" w:rsidRPr="00000000">
        <w:rPr>
          <w:rtl w:val="0"/>
        </w:rPr>
      </w:r>
    </w:p>
    <w:p w:rsidR="00000000" w:rsidDel="00000000" w:rsidP="00000000" w:rsidRDefault="00000000" w:rsidRPr="00000000" w14:paraId="0000014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Down Data Center Tier Level Classifications - CoreSite, accessed February 16, 2026, </w:t>
      </w:r>
      <w:hyperlink r:id="rId98">
        <w:r w:rsidDel="00000000" w:rsidR="00000000" w:rsidRPr="00000000">
          <w:rPr>
            <w:rFonts w:ascii="Google Sans" w:cs="Google Sans" w:eastAsia="Google Sans" w:hAnsi="Google Sans"/>
            <w:color w:val="0000ee"/>
            <w:sz w:val="24"/>
            <w:szCs w:val="24"/>
            <w:u w:val="single"/>
            <w:rtl w:val="0"/>
          </w:rPr>
          <w:t xml:space="preserve">https://www.coresite.com/blog/breaking-down-data-center-tiers-classifications</w:t>
        </w:r>
      </w:hyperlink>
      <w:r w:rsidDel="00000000" w:rsidR="00000000" w:rsidRPr="00000000">
        <w:rPr>
          <w:rtl w:val="0"/>
        </w:rPr>
      </w:r>
    </w:p>
    <w:p w:rsidR="00000000" w:rsidDel="00000000" w:rsidP="00000000" w:rsidRDefault="00000000" w:rsidRPr="00000000" w14:paraId="0000014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Tiers 1–4: Uptime &amp; Redundancy Explained - Camali Corp, accessed February 16, 2026, </w:t>
      </w:r>
      <w:hyperlink r:id="rId99">
        <w:r w:rsidDel="00000000" w:rsidR="00000000" w:rsidRPr="00000000">
          <w:rPr>
            <w:rFonts w:ascii="Google Sans" w:cs="Google Sans" w:eastAsia="Google Sans" w:hAnsi="Google Sans"/>
            <w:color w:val="0000ee"/>
            <w:sz w:val="24"/>
            <w:szCs w:val="24"/>
            <w:u w:val="single"/>
            <w:rtl w:val="0"/>
          </w:rPr>
          <w:t xml:space="preserve">https://camalicorp.com/projects/data-center/data-center-tiers-1-4-uptime-redundancy-explained/</w:t>
        </w:r>
      </w:hyperlink>
      <w:r w:rsidDel="00000000" w:rsidR="00000000" w:rsidRPr="00000000">
        <w:rPr>
          <w:rtl w:val="0"/>
        </w:rPr>
      </w:r>
    </w:p>
    <w:p w:rsidR="00000000" w:rsidDel="00000000" w:rsidP="00000000" w:rsidRDefault="00000000" w:rsidRPr="00000000" w14:paraId="0000014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Mean time between failures - Wikipedia, accessed February 16, 2026, </w:t>
      </w:r>
      <w:hyperlink r:id="rId100">
        <w:r w:rsidDel="00000000" w:rsidR="00000000" w:rsidRPr="00000000">
          <w:rPr>
            <w:rFonts w:ascii="Google Sans" w:cs="Google Sans" w:eastAsia="Google Sans" w:hAnsi="Google Sans"/>
            <w:color w:val="0000ee"/>
            <w:sz w:val="24"/>
            <w:szCs w:val="24"/>
            <w:u w:val="single"/>
            <w:rtl w:val="0"/>
          </w:rPr>
          <w:t xml:space="preserve">https://en.wikipedia.org/wiki/Mean_time_between_failures</w:t>
        </w:r>
      </w:hyperlink>
      <w:r w:rsidDel="00000000" w:rsidR="00000000" w:rsidRPr="00000000">
        <w:rPr>
          <w:rtl w:val="0"/>
        </w:rPr>
      </w:r>
    </w:p>
    <w:p w:rsidR="00000000" w:rsidDel="00000000" w:rsidP="00000000" w:rsidRDefault="00000000" w:rsidRPr="00000000" w14:paraId="0000014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MTTR and MTBF: The Maintenance Leader's Strategic Playbook for 2025 - Factory AI, accessed February 16, 2026, </w:t>
      </w:r>
      <w:hyperlink r:id="rId101">
        <w:r w:rsidDel="00000000" w:rsidR="00000000" w:rsidRPr="00000000">
          <w:rPr>
            <w:rFonts w:ascii="Google Sans" w:cs="Google Sans" w:eastAsia="Google Sans" w:hAnsi="Google Sans"/>
            <w:color w:val="0000ee"/>
            <w:sz w:val="24"/>
            <w:szCs w:val="24"/>
            <w:u w:val="single"/>
            <w:rtl w:val="0"/>
          </w:rPr>
          <w:t xml:space="preserve">https://f7i.ai/blog/mttr-and-mtbf-the-maintenance-leaders-strategic-playbook-for-2025</w:t>
        </w:r>
      </w:hyperlink>
      <w:r w:rsidDel="00000000" w:rsidR="00000000" w:rsidRPr="00000000">
        <w:rPr>
          <w:rtl w:val="0"/>
        </w:rPr>
      </w:r>
    </w:p>
    <w:p w:rsidR="00000000" w:rsidDel="00000000" w:rsidP="00000000" w:rsidRDefault="00000000" w:rsidRPr="00000000" w14:paraId="0000014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Reliability Calculations Using MTBF and MTTF in Maintenance - Mapcon, accessed February 16, 2026, </w:t>
      </w:r>
      <w:hyperlink r:id="rId102">
        <w:r w:rsidDel="00000000" w:rsidR="00000000" w:rsidRPr="00000000">
          <w:rPr>
            <w:rFonts w:ascii="Google Sans" w:cs="Google Sans" w:eastAsia="Google Sans" w:hAnsi="Google Sans"/>
            <w:color w:val="0000ee"/>
            <w:sz w:val="24"/>
            <w:szCs w:val="24"/>
            <w:u w:val="single"/>
            <w:rtl w:val="0"/>
          </w:rPr>
          <w:t xml:space="preserve">https://www.mapcon.com/blog/2025/08/reliability-calculations-using-mtbf-and-mttf-in-maintenance</w:t>
        </w:r>
      </w:hyperlink>
      <w:r w:rsidDel="00000000" w:rsidR="00000000" w:rsidRPr="00000000">
        <w:rPr>
          <w:rtl w:val="0"/>
        </w:rPr>
      </w:r>
    </w:p>
    <w:p w:rsidR="00000000" w:rsidDel="00000000" w:rsidP="00000000" w:rsidRDefault="00000000" w:rsidRPr="00000000" w14:paraId="0000014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Mean Time Between Failures (MTBF) in the Context of CMMS Software and Enterprise Asset Management, accessed February 16, 2026, </w:t>
      </w:r>
      <w:hyperlink r:id="rId103">
        <w:r w:rsidDel="00000000" w:rsidR="00000000" w:rsidRPr="00000000">
          <w:rPr>
            <w:rFonts w:ascii="Google Sans" w:cs="Google Sans" w:eastAsia="Google Sans" w:hAnsi="Google Sans"/>
            <w:color w:val="0000ee"/>
            <w:sz w:val="24"/>
            <w:szCs w:val="24"/>
            <w:u w:val="single"/>
            <w:rtl w:val="0"/>
          </w:rPr>
          <w:t xml:space="preserve">https://www.brightlysoftware.com/blog/understanding-mean-time-between-failures-mtbf-in-the-context-of-cmms-software-and-enterprise</w:t>
        </w:r>
      </w:hyperlink>
      <w:r w:rsidDel="00000000" w:rsidR="00000000" w:rsidRPr="00000000">
        <w:rPr>
          <w:rtl w:val="0"/>
        </w:rPr>
      </w:r>
    </w:p>
    <w:p w:rsidR="00000000" w:rsidDel="00000000" w:rsidP="00000000" w:rsidRDefault="00000000" w:rsidRPr="00000000" w14:paraId="0000014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Leadership is a Choice Not a Position: Transform Your Influence, accessed February 16, 2026, </w:t>
      </w:r>
      <w:hyperlink r:id="rId104">
        <w:r w:rsidDel="00000000" w:rsidR="00000000" w:rsidRPr="00000000">
          <w:rPr>
            <w:rFonts w:ascii="Google Sans" w:cs="Google Sans" w:eastAsia="Google Sans" w:hAnsi="Google Sans"/>
            <w:color w:val="0000ee"/>
            <w:sz w:val="24"/>
            <w:szCs w:val="24"/>
            <w:u w:val="single"/>
            <w:rtl w:val="0"/>
          </w:rPr>
          <w:t xml:space="preserve">https://quarterdeck.co.uk/articles/leadership-is-a-choice-not-a-position</w:t>
        </w:r>
      </w:hyperlink>
      <w:r w:rsidDel="00000000" w:rsidR="00000000" w:rsidRPr="00000000">
        <w:rPr>
          <w:rtl w:val="0"/>
        </w:rPr>
      </w:r>
    </w:p>
    <w:p w:rsidR="00000000" w:rsidDel="00000000" w:rsidP="00000000" w:rsidRDefault="00000000" w:rsidRPr="00000000" w14:paraId="0000014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Sustainable data centers: ESG, compliance, and futureproofing for success - GRESB, accessed February 16, 2026, </w:t>
      </w:r>
      <w:hyperlink r:id="rId105">
        <w:r w:rsidDel="00000000" w:rsidR="00000000" w:rsidRPr="00000000">
          <w:rPr>
            <w:rFonts w:ascii="Google Sans" w:cs="Google Sans" w:eastAsia="Google Sans" w:hAnsi="Google Sans"/>
            <w:color w:val="0000ee"/>
            <w:sz w:val="24"/>
            <w:szCs w:val="24"/>
            <w:u w:val="single"/>
            <w:rtl w:val="0"/>
          </w:rPr>
          <w:t xml:space="preserve">https://www.gresb.com/sustainable-data-centers-esg-compliance-and-futureproofing-for-success/</w:t>
        </w:r>
      </w:hyperlink>
      <w:r w:rsidDel="00000000" w:rsidR="00000000" w:rsidRPr="00000000">
        <w:rPr>
          <w:rtl w:val="0"/>
        </w:rPr>
      </w:r>
    </w:p>
    <w:p w:rsidR="00000000" w:rsidDel="00000000" w:rsidP="00000000" w:rsidRDefault="00000000" w:rsidRPr="00000000" w14:paraId="0000014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and Managing Risk Exposure Index (REI) - Profit.co, accessed February 16, 2026, </w:t>
      </w:r>
      <w:hyperlink r:id="rId106">
        <w:r w:rsidDel="00000000" w:rsidR="00000000" w:rsidRPr="00000000">
          <w:rPr>
            <w:rFonts w:ascii="Google Sans" w:cs="Google Sans" w:eastAsia="Google Sans" w:hAnsi="Google Sans"/>
            <w:color w:val="0000ee"/>
            <w:sz w:val="24"/>
            <w:szCs w:val="24"/>
            <w:u w:val="single"/>
            <w:rtl w:val="0"/>
          </w:rPr>
          <w:t xml:space="preserve">https://www.profit.co/blog/task-management/understanding-and-managing-risk-exposure-index-rei/</w:t>
        </w:r>
      </w:hyperlink>
      <w:r w:rsidDel="00000000" w:rsidR="00000000" w:rsidRPr="00000000">
        <w:rPr>
          <w:rtl w:val="0"/>
        </w:rPr>
      </w:r>
    </w:p>
    <w:p w:rsidR="00000000" w:rsidDel="00000000" w:rsidP="00000000" w:rsidRDefault="00000000" w:rsidRPr="00000000" w14:paraId="0000015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quantify “data compliance risk” in data compliance? - Tencent Cloud, accessed February 16, 2026, </w:t>
      </w:r>
      <w:hyperlink r:id="rId107">
        <w:r w:rsidDel="00000000" w:rsidR="00000000" w:rsidRPr="00000000">
          <w:rPr>
            <w:rFonts w:ascii="Google Sans" w:cs="Google Sans" w:eastAsia="Google Sans" w:hAnsi="Google Sans"/>
            <w:color w:val="0000ee"/>
            <w:sz w:val="24"/>
            <w:szCs w:val="24"/>
            <w:u w:val="single"/>
            <w:rtl w:val="0"/>
          </w:rPr>
          <w:t xml:space="preserve">https://www.tencentcloud.com/techpedia/129920</w:t>
        </w:r>
      </w:hyperlink>
      <w:r w:rsidDel="00000000" w:rsidR="00000000" w:rsidRPr="00000000">
        <w:rPr>
          <w:rtl w:val="0"/>
        </w:rPr>
      </w:r>
    </w:p>
    <w:p w:rsidR="00000000" w:rsidDel="00000000" w:rsidP="00000000" w:rsidRDefault="00000000" w:rsidRPr="00000000" w14:paraId="0000015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Risk Scoring? How To Score Risk? - Sprinto, accessed February 16, 2026, </w:t>
      </w:r>
      <w:hyperlink r:id="rId108">
        <w:r w:rsidDel="00000000" w:rsidR="00000000" w:rsidRPr="00000000">
          <w:rPr>
            <w:rFonts w:ascii="Google Sans" w:cs="Google Sans" w:eastAsia="Google Sans" w:hAnsi="Google Sans"/>
            <w:color w:val="0000ee"/>
            <w:sz w:val="24"/>
            <w:szCs w:val="24"/>
            <w:u w:val="single"/>
            <w:rtl w:val="0"/>
          </w:rPr>
          <w:t xml:space="preserve">https://sprinto.com/blog/risk-scoring/</w:t>
        </w:r>
      </w:hyperlink>
      <w:r w:rsidDel="00000000" w:rsidR="00000000" w:rsidRPr="00000000">
        <w:rPr>
          <w:rtl w:val="0"/>
        </w:rPr>
      </w:r>
    </w:p>
    <w:p w:rsidR="00000000" w:rsidDel="00000000" w:rsidP="00000000" w:rsidRDefault="00000000" w:rsidRPr="00000000" w14:paraId="0000015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Risk Scoring: Best Practices and Strategies - Flagright, accessed February 16, 2026, </w:t>
      </w:r>
      <w:hyperlink r:id="rId109">
        <w:r w:rsidDel="00000000" w:rsidR="00000000" w:rsidRPr="00000000">
          <w:rPr>
            <w:rFonts w:ascii="Google Sans" w:cs="Google Sans" w:eastAsia="Google Sans" w:hAnsi="Google Sans"/>
            <w:color w:val="0000ee"/>
            <w:sz w:val="24"/>
            <w:szCs w:val="24"/>
            <w:u w:val="single"/>
            <w:rtl w:val="0"/>
          </w:rPr>
          <w:t xml:space="preserve">https://www.flagright.com/post/how-to-do-risk-scoring</w:t>
        </w:r>
      </w:hyperlink>
      <w:r w:rsidDel="00000000" w:rsidR="00000000" w:rsidRPr="00000000">
        <w:rPr>
          <w:rtl w:val="0"/>
        </w:rPr>
      </w:r>
    </w:p>
    <w:p w:rsidR="00000000" w:rsidDel="00000000" w:rsidP="00000000" w:rsidRDefault="00000000" w:rsidRPr="00000000" w14:paraId="0000015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Ensure Digital Operational Resilience - Redjack, accessed February 16, 2026, </w:t>
      </w:r>
      <w:hyperlink r:id="rId110">
        <w:r w:rsidDel="00000000" w:rsidR="00000000" w:rsidRPr="00000000">
          <w:rPr>
            <w:rFonts w:ascii="Google Sans" w:cs="Google Sans" w:eastAsia="Google Sans" w:hAnsi="Google Sans"/>
            <w:color w:val="0000ee"/>
            <w:sz w:val="24"/>
            <w:szCs w:val="24"/>
            <w:u w:val="single"/>
            <w:rtl w:val="0"/>
          </w:rPr>
          <w:t xml:space="preserve">https://redjack.com/resources/ensure-digital-operational-resilience</w:t>
        </w:r>
      </w:hyperlink>
      <w:r w:rsidDel="00000000" w:rsidR="00000000" w:rsidRPr="00000000">
        <w:rPr>
          <w:rtl w:val="0"/>
        </w:rPr>
      </w:r>
    </w:p>
    <w:p w:rsidR="00000000" w:rsidDel="00000000" w:rsidP="00000000" w:rsidRDefault="00000000" w:rsidRPr="00000000" w14:paraId="0000015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Eindhoven University of Technology MASTER Development of a risk exposure method for global pharmaceutical logistics Mohan, V., accessed February 16, 2026, </w:t>
      </w:r>
      <w:hyperlink r:id="rId111">
        <w:r w:rsidDel="00000000" w:rsidR="00000000" w:rsidRPr="00000000">
          <w:rPr>
            <w:rFonts w:ascii="Google Sans" w:cs="Google Sans" w:eastAsia="Google Sans" w:hAnsi="Google Sans"/>
            <w:color w:val="0000ee"/>
            <w:sz w:val="24"/>
            <w:szCs w:val="24"/>
            <w:u w:val="single"/>
            <w:rtl w:val="0"/>
          </w:rPr>
          <w:t xml:space="preserve">https://pure.tue.nl/ws/files/76851565/Master_Thesis_Vasanth_Mohanl.pdf</w:t>
        </w:r>
      </w:hyperlink>
      <w:r w:rsidDel="00000000" w:rsidR="00000000" w:rsidRPr="00000000">
        <w:rPr>
          <w:rtl w:val="0"/>
        </w:rPr>
      </w:r>
    </w:p>
    <w:p w:rsidR="00000000" w:rsidDel="00000000" w:rsidP="00000000" w:rsidRDefault="00000000" w:rsidRPr="00000000" w14:paraId="0000015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AI_TAF: A Human-Centric Trustworthiness Risk Assessment Framework for AI Systems, accessed February 16, 2026, </w:t>
      </w:r>
      <w:hyperlink r:id="rId112">
        <w:r w:rsidDel="00000000" w:rsidR="00000000" w:rsidRPr="00000000">
          <w:rPr>
            <w:rFonts w:ascii="Google Sans" w:cs="Google Sans" w:eastAsia="Google Sans" w:hAnsi="Google Sans"/>
            <w:color w:val="0000ee"/>
            <w:sz w:val="24"/>
            <w:szCs w:val="24"/>
            <w:u w:val="single"/>
            <w:rtl w:val="0"/>
          </w:rPr>
          <w:t xml:space="preserve">https://www.mdpi.com/2073-431X/14/7/243</w:t>
        </w:r>
      </w:hyperlink>
      <w:r w:rsidDel="00000000" w:rsidR="00000000" w:rsidRPr="00000000">
        <w:rPr>
          <w:rtl w:val="0"/>
        </w:rPr>
      </w:r>
    </w:p>
    <w:p w:rsidR="00000000" w:rsidDel="00000000" w:rsidP="00000000" w:rsidRDefault="00000000" w:rsidRPr="00000000" w14:paraId="0000015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multiplier effect of leadership: How to build a culture of trust, engagement, and results, accessed February 16, 2026, </w:t>
      </w:r>
      <w:hyperlink r:id="rId113">
        <w:r w:rsidDel="00000000" w:rsidR="00000000" w:rsidRPr="00000000">
          <w:rPr>
            <w:rFonts w:ascii="Google Sans" w:cs="Google Sans" w:eastAsia="Google Sans" w:hAnsi="Google Sans"/>
            <w:color w:val="0000ee"/>
            <w:sz w:val="24"/>
            <w:szCs w:val="24"/>
            <w:u w:val="single"/>
            <w:rtl w:val="0"/>
          </w:rPr>
          <w:t xml:space="preserve">https://www.edufellowship.com/blog/multiplier-effect-leadership-trust-engagement-results/</w:t>
        </w:r>
      </w:hyperlink>
      <w:r w:rsidDel="00000000" w:rsidR="00000000" w:rsidRPr="00000000">
        <w:rPr>
          <w:rtl w:val="0"/>
        </w:rPr>
      </w:r>
    </w:p>
    <w:p w:rsidR="00000000" w:rsidDel="00000000" w:rsidP="00000000" w:rsidRDefault="00000000" w:rsidRPr="00000000" w14:paraId="0000015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NYU SPS Lab for Transformative Leadership, accessed February 16, 2026, </w:t>
      </w:r>
      <w:hyperlink r:id="rId114">
        <w:r w:rsidDel="00000000" w:rsidR="00000000" w:rsidRPr="00000000">
          <w:rPr>
            <w:rFonts w:ascii="Google Sans" w:cs="Google Sans" w:eastAsia="Google Sans" w:hAnsi="Google Sans"/>
            <w:color w:val="0000ee"/>
            <w:sz w:val="24"/>
            <w:szCs w:val="24"/>
            <w:u w:val="single"/>
            <w:rtl w:val="0"/>
          </w:rPr>
          <w:t xml:space="preserve">https://www.sps.nyu.edu/connect/custom-educational-programs/lab-for-transformative-leadership.html</w:t>
        </w:r>
      </w:hyperlink>
      <w:r w:rsidDel="00000000" w:rsidR="00000000" w:rsidRPr="00000000">
        <w:rPr>
          <w:rtl w:val="0"/>
        </w:rPr>
      </w:r>
    </w:p>
    <w:p w:rsidR="00000000" w:rsidDel="00000000" w:rsidP="00000000" w:rsidRDefault="00000000" w:rsidRPr="00000000" w14:paraId="0000015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Leadership Skills and Team Building for Modern Success, accessed February 16, 2026, </w:t>
      </w:r>
      <w:hyperlink r:id="rId115">
        <w:r w:rsidDel="00000000" w:rsidR="00000000" w:rsidRPr="00000000">
          <w:rPr>
            <w:rFonts w:ascii="Google Sans" w:cs="Google Sans" w:eastAsia="Google Sans" w:hAnsi="Google Sans"/>
            <w:color w:val="0000ee"/>
            <w:sz w:val="24"/>
            <w:szCs w:val="24"/>
            <w:u w:val="single"/>
            <w:rtl w:val="0"/>
          </w:rPr>
          <w:t xml:space="preserve">https://quarterdeck.co.uk/articles/leadership-skills-and-team-building</w:t>
        </w:r>
      </w:hyperlink>
      <w:r w:rsidDel="00000000" w:rsidR="00000000" w:rsidRPr="00000000">
        <w:rPr>
          <w:rtl w:val="0"/>
        </w:rPr>
      </w:r>
    </w:p>
    <w:p w:rsidR="00000000" w:rsidDel="00000000" w:rsidP="00000000" w:rsidRDefault="00000000" w:rsidRPr="00000000" w14:paraId="0000015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Training ROI: Formula, Benchmarks &amp; Video Training Impact - Panopto, accessed February 16, 2026, </w:t>
      </w:r>
      <w:hyperlink r:id="rId116">
        <w:r w:rsidDel="00000000" w:rsidR="00000000" w:rsidRPr="00000000">
          <w:rPr>
            <w:rFonts w:ascii="Google Sans" w:cs="Google Sans" w:eastAsia="Google Sans" w:hAnsi="Google Sans"/>
            <w:color w:val="0000ee"/>
            <w:sz w:val="24"/>
            <w:szCs w:val="24"/>
            <w:u w:val="single"/>
            <w:rtl w:val="0"/>
          </w:rPr>
          <w:t xml:space="preserve">https://www.panopto.com/blog/how-to-measure-the-roi-of-training/</w:t>
        </w:r>
      </w:hyperlink>
      <w:r w:rsidDel="00000000" w:rsidR="00000000" w:rsidRPr="00000000">
        <w:rPr>
          <w:rtl w:val="0"/>
        </w:rPr>
      </w:r>
    </w:p>
    <w:p w:rsidR="00000000" w:rsidDel="00000000" w:rsidP="00000000" w:rsidRDefault="00000000" w:rsidRPr="00000000" w14:paraId="0000015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Leadership and Strategy (Section 1) - Operating Room Leadership and Perioperative Practice Management - Cambridge University Press &amp; Assessment, accessed February 16, 2026, </w:t>
      </w:r>
      <w:hyperlink r:id="rId117">
        <w:r w:rsidDel="00000000" w:rsidR="00000000" w:rsidRPr="00000000">
          <w:rPr>
            <w:rFonts w:ascii="Google Sans" w:cs="Google Sans" w:eastAsia="Google Sans" w:hAnsi="Google Sans"/>
            <w:color w:val="0000ee"/>
            <w:sz w:val="24"/>
            <w:szCs w:val="24"/>
            <w:u w:val="single"/>
            <w:rtl w:val="0"/>
          </w:rPr>
          <w:t xml:space="preserve">https://www.cambridge.org/core/books/operating-room-leadership-and-perioperative-practice-management/leadership-and-strategy/9EEDCDE8C736FEFF01B2A99FFAC2B477</w:t>
        </w:r>
      </w:hyperlink>
      <w:r w:rsidDel="00000000" w:rsidR="00000000" w:rsidRPr="00000000">
        <w:rPr>
          <w:rtl w:val="0"/>
        </w:rPr>
      </w:r>
    </w:p>
    <w:p w:rsidR="00000000" w:rsidDel="00000000" w:rsidP="00000000" w:rsidRDefault="00000000" w:rsidRPr="00000000" w14:paraId="0000015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Multiplier leadership optimization algorithm (MLOA): unconstrained global optimization approach for melanoma classification, accessed February 16, 2026, </w:t>
      </w:r>
      <w:hyperlink r:id="rId118">
        <w:r w:rsidDel="00000000" w:rsidR="00000000" w:rsidRPr="00000000">
          <w:rPr>
            <w:rFonts w:ascii="Google Sans" w:cs="Google Sans" w:eastAsia="Google Sans" w:hAnsi="Google Sans"/>
            <w:color w:val="0000ee"/>
            <w:sz w:val="24"/>
            <w:szCs w:val="24"/>
            <w:u w:val="single"/>
            <w:rtl w:val="0"/>
          </w:rPr>
          <w:t xml:space="preserve">https://d-nb.info/1373766816/34</w:t>
        </w:r>
      </w:hyperlink>
      <w:r w:rsidDel="00000000" w:rsidR="00000000" w:rsidRPr="00000000">
        <w:rPr>
          <w:rtl w:val="0"/>
        </w:rPr>
      </w:r>
    </w:p>
    <w:p w:rsidR="00000000" w:rsidDel="00000000" w:rsidP="00000000" w:rsidRDefault="00000000" w:rsidRPr="00000000" w14:paraId="0000015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Migration: Checklist &amp; Best Practices | Flexential, accessed February 16, 2026, </w:t>
      </w:r>
      <w:hyperlink r:id="rId119">
        <w:r w:rsidDel="00000000" w:rsidR="00000000" w:rsidRPr="00000000">
          <w:rPr>
            <w:rFonts w:ascii="Google Sans" w:cs="Google Sans" w:eastAsia="Google Sans" w:hAnsi="Google Sans"/>
            <w:color w:val="0000ee"/>
            <w:sz w:val="24"/>
            <w:szCs w:val="24"/>
            <w:u w:val="single"/>
            <w:rtl w:val="0"/>
          </w:rPr>
          <w:t xml:space="preserve">https://www.flexential.com/resources/blog/best-practices-successful-data-center-migration</w:t>
        </w:r>
      </w:hyperlink>
      <w:r w:rsidDel="00000000" w:rsidR="00000000" w:rsidRPr="00000000">
        <w:rPr>
          <w:rtl w:val="0"/>
        </w:rPr>
      </w:r>
    </w:p>
    <w:p w:rsidR="00000000" w:rsidDel="00000000" w:rsidP="00000000" w:rsidRDefault="00000000" w:rsidRPr="00000000" w14:paraId="0000015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centres and energy consumption: evolving EU regulatory landscape and outlook for 2026 | White &amp; Case LLP, accessed February 16, 2026, </w:t>
      </w:r>
      <w:hyperlink r:id="rId120">
        <w:r w:rsidDel="00000000" w:rsidR="00000000" w:rsidRPr="00000000">
          <w:rPr>
            <w:rFonts w:ascii="Google Sans" w:cs="Google Sans" w:eastAsia="Google Sans" w:hAnsi="Google Sans"/>
            <w:color w:val="0000ee"/>
            <w:sz w:val="24"/>
            <w:szCs w:val="24"/>
            <w:u w:val="single"/>
            <w:rtl w:val="0"/>
          </w:rPr>
          <w:t xml:space="preserve">https://www.whitecase.com/insight-alert/data-centres-and-energy-consumption-evolving-eu-regulatory-landscape-and-outlook-2026</w:t>
        </w:r>
      </w:hyperlink>
      <w:r w:rsidDel="00000000" w:rsidR="00000000" w:rsidRPr="00000000">
        <w:rPr>
          <w:rtl w:val="0"/>
        </w:rPr>
      </w:r>
    </w:p>
    <w:p w:rsidR="00000000" w:rsidDel="00000000" w:rsidP="00000000" w:rsidRDefault="00000000" w:rsidRPr="00000000" w14:paraId="0000015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Portfolio Management Metrics and KPIs - Birdview PSA, accessed February 16, 2026, </w:t>
      </w:r>
      <w:hyperlink r:id="rId121">
        <w:r w:rsidDel="00000000" w:rsidR="00000000" w:rsidRPr="00000000">
          <w:rPr>
            <w:rFonts w:ascii="Google Sans" w:cs="Google Sans" w:eastAsia="Google Sans" w:hAnsi="Google Sans"/>
            <w:color w:val="0000ee"/>
            <w:sz w:val="24"/>
            <w:szCs w:val="24"/>
            <w:u w:val="single"/>
            <w:rtl w:val="0"/>
          </w:rPr>
          <w:t xml:space="preserve">https://birdviewpsa.com/project-portfolio-guide/project-portfolio-metrics/</w:t>
        </w:r>
      </w:hyperlink>
      <w:r w:rsidDel="00000000" w:rsidR="00000000" w:rsidRPr="00000000">
        <w:rPr>
          <w:rtl w:val="0"/>
        </w:rPr>
      </w:r>
    </w:p>
    <w:p w:rsidR="00000000" w:rsidDel="00000000" w:rsidP="00000000" w:rsidRDefault="00000000" w:rsidRPr="00000000" w14:paraId="0000015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ROI for a Project: Formula Explained - Productive.io, accessed February 16, 2026, </w:t>
      </w:r>
      <w:hyperlink r:id="rId122">
        <w:r w:rsidDel="00000000" w:rsidR="00000000" w:rsidRPr="00000000">
          <w:rPr>
            <w:rFonts w:ascii="Google Sans" w:cs="Google Sans" w:eastAsia="Google Sans" w:hAnsi="Google Sans"/>
            <w:color w:val="0000ee"/>
            <w:sz w:val="24"/>
            <w:szCs w:val="24"/>
            <w:u w:val="single"/>
            <w:rtl w:val="0"/>
          </w:rPr>
          <w:t xml:space="preserve">https://productive.io/blog/how-to-calculate-roi-for-a-project/</w:t>
        </w:r>
      </w:hyperlink>
      <w:r w:rsidDel="00000000" w:rsidR="00000000" w:rsidRPr="00000000">
        <w:rPr>
          <w:rtl w:val="0"/>
        </w:rPr>
      </w:r>
    </w:p>
    <w:p w:rsidR="00000000" w:rsidDel="00000000" w:rsidP="00000000" w:rsidRDefault="00000000" w:rsidRPr="00000000" w14:paraId="0000016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Bring Your Extended Leadership Team into Strategy Decisions | AAPL Publication, accessed February 16, 2026, </w:t>
      </w:r>
      <w:hyperlink r:id="rId123">
        <w:r w:rsidDel="00000000" w:rsidR="00000000" w:rsidRPr="00000000">
          <w:rPr>
            <w:rFonts w:ascii="Google Sans" w:cs="Google Sans" w:eastAsia="Google Sans" w:hAnsi="Google Sans"/>
            <w:color w:val="0000ee"/>
            <w:sz w:val="24"/>
            <w:szCs w:val="24"/>
            <w:u w:val="single"/>
            <w:rtl w:val="0"/>
          </w:rPr>
          <w:t xml:space="preserve">https://www.physicianleaders.org/articles/bring-your-extended-leadership-team-into-strategy-decisions</w:t>
        </w:r>
      </w:hyperlink>
      <w:r w:rsidDel="00000000" w:rsidR="00000000" w:rsidRPr="00000000">
        <w:rPr>
          <w:rtl w:val="0"/>
        </w:rPr>
      </w:r>
    </w:p>
    <w:p w:rsidR="00000000" w:rsidDel="00000000" w:rsidP="00000000" w:rsidRDefault="00000000" w:rsidRPr="00000000" w14:paraId="0000016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Tiers Explained: Tier I, II, III &amp; IV (2026 Guide) - INGENIOUS.BUILD, accessed February 16, 2026, </w:t>
      </w:r>
      <w:hyperlink r:id="rId124">
        <w:r w:rsidDel="00000000" w:rsidR="00000000" w:rsidRPr="00000000">
          <w:rPr>
            <w:rFonts w:ascii="Google Sans" w:cs="Google Sans" w:eastAsia="Google Sans" w:hAnsi="Google Sans"/>
            <w:color w:val="0000ee"/>
            <w:sz w:val="24"/>
            <w:szCs w:val="24"/>
            <w:u w:val="single"/>
            <w:rtl w:val="0"/>
          </w:rPr>
          <w:t xml:space="preserve">https://www.ingenious.build/blog-posts/data-center-tiers-explained</w:t>
        </w:r>
      </w:hyperlink>
      <w:r w:rsidDel="00000000" w:rsidR="00000000" w:rsidRPr="00000000">
        <w:rPr>
          <w:rtl w:val="0"/>
        </w:rPr>
      </w:r>
    </w:p>
    <w:p w:rsidR="00000000" w:rsidDel="00000000" w:rsidP="00000000" w:rsidRDefault="00000000" w:rsidRPr="00000000" w14:paraId="0000016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Logistics Leadership: Why Resisting Change Makes Some Executives Fall Behind, accessed February 16, 2026, </w:t>
      </w:r>
      <w:hyperlink r:id="rId125">
        <w:r w:rsidDel="00000000" w:rsidR="00000000" w:rsidRPr="00000000">
          <w:rPr>
            <w:rFonts w:ascii="Google Sans" w:cs="Google Sans" w:eastAsia="Google Sans" w:hAnsi="Google Sans"/>
            <w:color w:val="0000ee"/>
            <w:sz w:val="24"/>
            <w:szCs w:val="24"/>
            <w:u w:val="single"/>
            <w:rtl w:val="0"/>
          </w:rPr>
          <w:t xml:space="preserve">https://transcorp-intl.com/2026/02/10/ai-in-logistics-leadership-why-resisting-change-makes-some-executives-fall-behind/</w:t>
        </w:r>
      </w:hyperlink>
      <w:r w:rsidDel="00000000" w:rsidR="00000000" w:rsidRPr="00000000">
        <w:rPr>
          <w:rtl w:val="0"/>
        </w:rPr>
      </w:r>
    </w:p>
    <w:p w:rsidR="00000000" w:rsidDel="00000000" w:rsidP="00000000" w:rsidRDefault="00000000" w:rsidRPr="00000000" w14:paraId="0000016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GHG Protocol Scope 2 Guidance, accessed February 16, 2026, </w:t>
      </w:r>
      <w:hyperlink r:id="rId126">
        <w:r w:rsidDel="00000000" w:rsidR="00000000" w:rsidRPr="00000000">
          <w:rPr>
            <w:rFonts w:ascii="Google Sans" w:cs="Google Sans" w:eastAsia="Google Sans" w:hAnsi="Google Sans"/>
            <w:color w:val="0000ee"/>
            <w:sz w:val="24"/>
            <w:szCs w:val="24"/>
            <w:u w:val="single"/>
            <w:rtl w:val="0"/>
          </w:rPr>
          <w:t xml:space="preserve">https://ghgprotocol.org/sites/default/files/2023-03/Scope%202%20Guidance.pdf</w:t>
        </w:r>
      </w:hyperlink>
      <w:r w:rsidDel="00000000" w:rsidR="00000000" w:rsidRPr="00000000">
        <w:rPr>
          <w:rtl w:val="0"/>
        </w:rPr>
      </w:r>
    </w:p>
    <w:p w:rsidR="00000000" w:rsidDel="00000000" w:rsidP="00000000" w:rsidRDefault="00000000" w:rsidRPr="00000000" w14:paraId="0000016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Energy Users Connection Policy, accessed February 16, 2026, </w:t>
      </w:r>
      <w:hyperlink r:id="rId127">
        <w:r w:rsidDel="00000000" w:rsidR="00000000" w:rsidRPr="00000000">
          <w:rPr>
            <w:rFonts w:ascii="Google Sans" w:cs="Google Sans" w:eastAsia="Google Sans" w:hAnsi="Google Sans"/>
            <w:color w:val="0000ee"/>
            <w:sz w:val="24"/>
            <w:szCs w:val="24"/>
            <w:u w:val="single"/>
            <w:rtl w:val="0"/>
          </w:rPr>
          <w:t xml:space="preserve">https://cruie-live-96ca64acab2247eca8a850a7e54b-5b34f62.divio-media.com/documents/CRU2025236_Large_Energy_User_connection_policy_decision_paper.pdf</w:t>
        </w:r>
      </w:hyperlink>
      <w:r w:rsidDel="00000000" w:rsidR="00000000" w:rsidRPr="00000000">
        <w:rPr>
          <w:rtl w:val="0"/>
        </w:rPr>
      </w:r>
    </w:p>
    <w:p w:rsidR="00000000" w:rsidDel="00000000" w:rsidP="00000000" w:rsidRDefault="00000000" w:rsidRPr="00000000" w14:paraId="0000016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Exposure Index - Vulnerability Assessment Tool - Kiteworks, accessed February 16, 2026, </w:t>
      </w:r>
      <w:hyperlink r:id="rId128">
        <w:r w:rsidDel="00000000" w:rsidR="00000000" w:rsidRPr="00000000">
          <w:rPr>
            <w:rFonts w:ascii="Google Sans" w:cs="Google Sans" w:eastAsia="Google Sans" w:hAnsi="Google Sans"/>
            <w:color w:val="0000ee"/>
            <w:sz w:val="24"/>
            <w:szCs w:val="24"/>
            <w:u w:val="single"/>
            <w:rtl w:val="0"/>
          </w:rPr>
          <w:t xml:space="preserve">https://www.kiteworks.com/risk-exposure-index/</w:t>
        </w:r>
      </w:hyperlink>
      <w:r w:rsidDel="00000000" w:rsidR="00000000" w:rsidRPr="00000000">
        <w:rPr>
          <w:rtl w:val="0"/>
        </w:rPr>
      </w:r>
    </w:p>
    <w:p w:rsidR="00000000" w:rsidDel="00000000" w:rsidP="00000000" w:rsidRDefault="00000000" w:rsidRPr="00000000" w14:paraId="0000016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digital sustainability's maturity with Aiste Rugeviciute and Rob Price - Green IO, accessed February 16, 2026, </w:t>
      </w:r>
      <w:hyperlink r:id="rId129">
        <w:r w:rsidDel="00000000" w:rsidR="00000000" w:rsidRPr="00000000">
          <w:rPr>
            <w:rFonts w:ascii="Google Sans" w:cs="Google Sans" w:eastAsia="Google Sans" w:hAnsi="Google Sans"/>
            <w:color w:val="0000ee"/>
            <w:sz w:val="24"/>
            <w:szCs w:val="24"/>
            <w:u w:val="single"/>
            <w:rtl w:val="0"/>
          </w:rPr>
          <w:t xml:space="preserve">https://greenio.tech/blog/39/episode-45-assessing-digital-sustainabilitys-maturity-with-aiste-rugeviciute-and-rob-price</w:t>
        </w:r>
      </w:hyperlink>
      <w:r w:rsidDel="00000000" w:rsidR="00000000" w:rsidRPr="00000000">
        <w:rPr>
          <w:rtl w:val="0"/>
        </w:rPr>
      </w:r>
    </w:p>
    <w:p w:rsidR="00000000" w:rsidDel="00000000" w:rsidP="00000000" w:rsidRDefault="00000000" w:rsidRPr="00000000" w14:paraId="0000016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Value at Risk in the Netherlands - Security Delta (HSD), accessed February 16, 2026, </w:t>
      </w:r>
      <w:hyperlink r:id="rId130">
        <w:r w:rsidDel="00000000" w:rsidR="00000000" w:rsidRPr="00000000">
          <w:rPr>
            <w:rFonts w:ascii="Google Sans" w:cs="Google Sans" w:eastAsia="Google Sans" w:hAnsi="Google Sans"/>
            <w:color w:val="0000ee"/>
            <w:sz w:val="24"/>
            <w:szCs w:val="24"/>
            <w:u w:val="single"/>
            <w:rtl w:val="0"/>
          </w:rPr>
          <w:t xml:space="preserve">https://securitydelta.nl/images/deloitte-nl-risk-cyber-value-at-Risk-in-the-Netherlands.pdf</w:t>
        </w:r>
      </w:hyperlink>
      <w:r w:rsidDel="00000000" w:rsidR="00000000" w:rsidRPr="00000000">
        <w:rPr>
          <w:rtl w:val="0"/>
        </w:rPr>
      </w:r>
    </w:p>
    <w:p w:rsidR="00000000" w:rsidDel="00000000" w:rsidP="00000000" w:rsidRDefault="00000000" w:rsidRPr="00000000" w14:paraId="0000016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Disruption Risk Mitigation in Supply Chains: The Risk Exposure Index Revisited, accessed February 16, 2026, </w:t>
      </w:r>
      <w:hyperlink r:id="rId131">
        <w:r w:rsidDel="00000000" w:rsidR="00000000" w:rsidRPr="00000000">
          <w:rPr>
            <w:rFonts w:ascii="Google Sans" w:cs="Google Sans" w:eastAsia="Google Sans" w:hAnsi="Google Sans"/>
            <w:color w:val="0000ee"/>
            <w:sz w:val="24"/>
            <w:szCs w:val="24"/>
            <w:u w:val="single"/>
            <w:rtl w:val="0"/>
          </w:rPr>
          <w:t xml:space="preserve">https://ideas.repec.org/a/inm/oropre/v67y2019i3p831-852.html</w:t>
        </w:r>
      </w:hyperlink>
      <w:r w:rsidDel="00000000" w:rsidR="00000000" w:rsidRPr="00000000">
        <w:rPr>
          <w:rtl w:val="0"/>
        </w:rPr>
      </w:r>
    </w:p>
    <w:p w:rsidR="00000000" w:rsidDel="00000000" w:rsidP="00000000" w:rsidRDefault="00000000" w:rsidRPr="00000000" w14:paraId="0000016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Clear Decisions: AI-Powered Compliance Automation for Data Centres, accessed February 16, 2026, </w:t>
      </w:r>
      <w:hyperlink r:id="rId132">
        <w:r w:rsidDel="00000000" w:rsidR="00000000" w:rsidRPr="00000000">
          <w:rPr>
            <w:rFonts w:ascii="Google Sans" w:cs="Google Sans" w:eastAsia="Google Sans" w:hAnsi="Google Sans"/>
            <w:color w:val="0000ee"/>
            <w:sz w:val="24"/>
            <w:szCs w:val="24"/>
            <w:u w:val="single"/>
            <w:rtl w:val="0"/>
          </w:rPr>
          <w:t xml:space="preserve">https://www.clear-decisions.com/</w:t>
        </w:r>
      </w:hyperlink>
      <w:r w:rsidDel="00000000" w:rsidR="00000000" w:rsidRPr="00000000">
        <w:rPr>
          <w:rtl w:val="0"/>
        </w:rPr>
      </w:r>
    </w:p>
    <w:p w:rsidR="00000000" w:rsidDel="00000000" w:rsidP="00000000" w:rsidRDefault="00000000" w:rsidRPr="00000000" w14:paraId="0000016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Clarity Is a Leadership Skill: 7 Ways to Make Your Thinking More Contagious - West Peak, accessed February 16, 2026, </w:t>
      </w:r>
      <w:hyperlink r:id="rId133">
        <w:r w:rsidDel="00000000" w:rsidR="00000000" w:rsidRPr="00000000">
          <w:rPr>
            <w:rFonts w:ascii="Google Sans" w:cs="Google Sans" w:eastAsia="Google Sans" w:hAnsi="Google Sans"/>
            <w:color w:val="0000ee"/>
            <w:sz w:val="24"/>
            <w:szCs w:val="24"/>
            <w:u w:val="single"/>
            <w:rtl w:val="0"/>
          </w:rPr>
          <w:t xml:space="preserve">https://thewestpeak.com/clarity-is-a-leadership-skill-7-ways-to-make-your-thinking-more-contagious/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16.png"/><Relationship Id="rId41" Type="http://schemas.openxmlformats.org/officeDocument/2006/relationships/image" Target="media/image5.png"/><Relationship Id="rId44" Type="http://schemas.openxmlformats.org/officeDocument/2006/relationships/image" Target="media/image19.png"/><Relationship Id="rId43" Type="http://schemas.openxmlformats.org/officeDocument/2006/relationships/image" Target="media/image22.png"/><Relationship Id="rId46" Type="http://schemas.openxmlformats.org/officeDocument/2006/relationships/image" Target="media/image3.png"/><Relationship Id="rId45" Type="http://schemas.openxmlformats.org/officeDocument/2006/relationships/image" Target="media/image6.png"/><Relationship Id="rId107" Type="http://schemas.openxmlformats.org/officeDocument/2006/relationships/hyperlink" Target="https://www.tencentcloud.com/techpedia/129920" TargetMode="External"/><Relationship Id="rId106" Type="http://schemas.openxmlformats.org/officeDocument/2006/relationships/hyperlink" Target="https://www.profit.co/blog/task-management/understanding-and-managing-risk-exposure-index-rei/" TargetMode="External"/><Relationship Id="rId105" Type="http://schemas.openxmlformats.org/officeDocument/2006/relationships/hyperlink" Target="https://www.gresb.com/sustainable-data-centers-esg-compliance-and-futureproofing-for-success/" TargetMode="External"/><Relationship Id="rId104" Type="http://schemas.openxmlformats.org/officeDocument/2006/relationships/hyperlink" Target="https://quarterdeck.co.uk/articles/leadership-is-a-choice-not-a-position" TargetMode="External"/><Relationship Id="rId109" Type="http://schemas.openxmlformats.org/officeDocument/2006/relationships/hyperlink" Target="https://www.flagright.com/post/how-to-do-risk-scoring" TargetMode="External"/><Relationship Id="rId108" Type="http://schemas.openxmlformats.org/officeDocument/2006/relationships/hyperlink" Target="https://sprinto.com/blog/risk-scoring/" TargetMode="External"/><Relationship Id="rId48" Type="http://schemas.openxmlformats.org/officeDocument/2006/relationships/image" Target="media/image1.png"/><Relationship Id="rId47" Type="http://schemas.openxmlformats.org/officeDocument/2006/relationships/image" Target="media/image2.png"/><Relationship Id="rId49" Type="http://schemas.openxmlformats.org/officeDocument/2006/relationships/image" Target="media/image9.png"/><Relationship Id="rId103" Type="http://schemas.openxmlformats.org/officeDocument/2006/relationships/hyperlink" Target="https://www.brightlysoftware.com/blog/understanding-mean-time-between-failures-mtbf-in-the-context-of-cmms-software-and-enterprise" TargetMode="External"/><Relationship Id="rId102" Type="http://schemas.openxmlformats.org/officeDocument/2006/relationships/hyperlink" Target="https://www.mapcon.com/blog/2025/08/reliability-calculations-using-mtbf-and-mttf-in-maintenance" TargetMode="External"/><Relationship Id="rId101" Type="http://schemas.openxmlformats.org/officeDocument/2006/relationships/hyperlink" Target="https://f7i.ai/blog/mttr-and-mtbf-the-maintenance-leaders-strategic-playbook-for-2025" TargetMode="External"/><Relationship Id="rId100" Type="http://schemas.openxmlformats.org/officeDocument/2006/relationships/hyperlink" Target="https://en.wikipedia.org/wiki/Mean_time_between_failures" TargetMode="External"/><Relationship Id="rId31" Type="http://schemas.openxmlformats.org/officeDocument/2006/relationships/image" Target="media/image14.png"/><Relationship Id="rId30" Type="http://schemas.openxmlformats.org/officeDocument/2006/relationships/image" Target="media/image35.png"/><Relationship Id="rId33" Type="http://schemas.openxmlformats.org/officeDocument/2006/relationships/image" Target="media/image51.png"/><Relationship Id="rId32" Type="http://schemas.openxmlformats.org/officeDocument/2006/relationships/image" Target="media/image28.png"/><Relationship Id="rId35" Type="http://schemas.openxmlformats.org/officeDocument/2006/relationships/image" Target="media/image12.png"/><Relationship Id="rId34" Type="http://schemas.openxmlformats.org/officeDocument/2006/relationships/image" Target="media/image48.png"/><Relationship Id="rId37" Type="http://schemas.openxmlformats.org/officeDocument/2006/relationships/image" Target="media/image13.png"/><Relationship Id="rId36" Type="http://schemas.openxmlformats.org/officeDocument/2006/relationships/image" Target="media/image7.png"/><Relationship Id="rId39" Type="http://schemas.openxmlformats.org/officeDocument/2006/relationships/image" Target="media/image8.png"/><Relationship Id="rId38" Type="http://schemas.openxmlformats.org/officeDocument/2006/relationships/image" Target="media/image38.png"/><Relationship Id="rId20" Type="http://schemas.openxmlformats.org/officeDocument/2006/relationships/image" Target="media/image4.png"/><Relationship Id="rId22" Type="http://schemas.openxmlformats.org/officeDocument/2006/relationships/image" Target="media/image42.png"/><Relationship Id="rId21" Type="http://schemas.openxmlformats.org/officeDocument/2006/relationships/image" Target="media/image50.png"/><Relationship Id="rId24" Type="http://schemas.openxmlformats.org/officeDocument/2006/relationships/image" Target="media/image46.png"/><Relationship Id="rId23" Type="http://schemas.openxmlformats.org/officeDocument/2006/relationships/image" Target="media/image43.png"/><Relationship Id="rId129" Type="http://schemas.openxmlformats.org/officeDocument/2006/relationships/hyperlink" Target="https://greenio.tech/blog/39/episode-45-assessing-digital-sustainabilitys-maturity-with-aiste-rugeviciute-and-rob-price" TargetMode="External"/><Relationship Id="rId128" Type="http://schemas.openxmlformats.org/officeDocument/2006/relationships/hyperlink" Target="https://www.kiteworks.com/risk-exposure-index/" TargetMode="External"/><Relationship Id="rId127" Type="http://schemas.openxmlformats.org/officeDocument/2006/relationships/hyperlink" Target="https://cruie-live-96ca64acab2247eca8a850a7e54b-5b34f62.divio-media.com/documents/CRU2025236_Large_Energy_User_connection_policy_decision_paper.pdf" TargetMode="External"/><Relationship Id="rId126" Type="http://schemas.openxmlformats.org/officeDocument/2006/relationships/hyperlink" Target="https://ghgprotocol.org/sites/default/files/2023-03/Scope%202%20Guidance.pdf" TargetMode="External"/><Relationship Id="rId26" Type="http://schemas.openxmlformats.org/officeDocument/2006/relationships/image" Target="media/image21.png"/><Relationship Id="rId121" Type="http://schemas.openxmlformats.org/officeDocument/2006/relationships/hyperlink" Target="https://birdviewpsa.com/project-portfolio-guide/project-portfolio-metrics/" TargetMode="External"/><Relationship Id="rId25" Type="http://schemas.openxmlformats.org/officeDocument/2006/relationships/image" Target="media/image32.png"/><Relationship Id="rId120" Type="http://schemas.openxmlformats.org/officeDocument/2006/relationships/hyperlink" Target="https://www.whitecase.com/insight-alert/data-centres-and-energy-consumption-evolving-eu-regulatory-landscape-and-outlook-2026" TargetMode="External"/><Relationship Id="rId28" Type="http://schemas.openxmlformats.org/officeDocument/2006/relationships/image" Target="media/image18.png"/><Relationship Id="rId27" Type="http://schemas.openxmlformats.org/officeDocument/2006/relationships/image" Target="media/image23.png"/><Relationship Id="rId125" Type="http://schemas.openxmlformats.org/officeDocument/2006/relationships/hyperlink" Target="https://transcorp-intl.com/2026/02/10/ai-in-logistics-leadership-why-resisting-change-makes-some-executives-fall-behind/" TargetMode="External"/><Relationship Id="rId29" Type="http://schemas.openxmlformats.org/officeDocument/2006/relationships/image" Target="media/image26.png"/><Relationship Id="rId124" Type="http://schemas.openxmlformats.org/officeDocument/2006/relationships/hyperlink" Target="https://www.ingenious.build/blog-posts/data-center-tiers-explained" TargetMode="External"/><Relationship Id="rId123" Type="http://schemas.openxmlformats.org/officeDocument/2006/relationships/hyperlink" Target="https://www.physicianleaders.org/articles/bring-your-extended-leadership-team-into-strategy-decisions" TargetMode="External"/><Relationship Id="rId122" Type="http://schemas.openxmlformats.org/officeDocument/2006/relationships/hyperlink" Target="https://productive.io/blog/how-to-calculate-roi-for-a-project/" TargetMode="External"/><Relationship Id="rId95" Type="http://schemas.openxmlformats.org/officeDocument/2006/relationships/hyperlink" Target="https://eur-lex.europa.eu/legal-content/EN/TXT/PDF/?uri=OJ:L_202401364" TargetMode="External"/><Relationship Id="rId94" Type="http://schemas.openxmlformats.org/officeDocument/2006/relationships/hyperlink" Target="https://www.cov.com/-/media/files/corporate/publications/2025/04/the-eus-energy-efficiency-directive-and-its-impact-on-datacenters.pdf" TargetMode="External"/><Relationship Id="rId97" Type="http://schemas.openxmlformats.org/officeDocument/2006/relationships/hyperlink" Target="https://www.eudca.org/documents/content/_wU9NIdhRn2O7FEPP-YZ2Qo33?download=0" TargetMode="External"/><Relationship Id="rId96" Type="http://schemas.openxmlformats.org/officeDocument/2006/relationships/hyperlink" Target="https://publica.fraunhofer.de/bitstreams/1f9c682c-bfe8-47fb-b48d-e7051a9a32db/download" TargetMode="External"/><Relationship Id="rId11" Type="http://schemas.openxmlformats.org/officeDocument/2006/relationships/image" Target="media/image27.png"/><Relationship Id="rId99" Type="http://schemas.openxmlformats.org/officeDocument/2006/relationships/hyperlink" Target="https://camalicorp.com/projects/data-center/data-center-tiers-1-4-uptime-redundancy-explained/" TargetMode="External"/><Relationship Id="rId10" Type="http://schemas.openxmlformats.org/officeDocument/2006/relationships/image" Target="media/image11.png"/><Relationship Id="rId98" Type="http://schemas.openxmlformats.org/officeDocument/2006/relationships/hyperlink" Target="https://www.coresite.com/blog/breaking-down-data-center-tiers-classifications" TargetMode="External"/><Relationship Id="rId13" Type="http://schemas.openxmlformats.org/officeDocument/2006/relationships/image" Target="media/image25.png"/><Relationship Id="rId12" Type="http://schemas.openxmlformats.org/officeDocument/2006/relationships/image" Target="media/image41.png"/><Relationship Id="rId91" Type="http://schemas.openxmlformats.org/officeDocument/2006/relationships/hyperlink" Target="https://camgandevices-images-test.s3.eu-central-1.amazonaws.com/CGD_WP_2201_0e64b3363a.pdf" TargetMode="External"/><Relationship Id="rId90" Type="http://schemas.openxmlformats.org/officeDocument/2006/relationships/hyperlink" Target="https://en.eeworld.com.cn/news/news/eic523675.html" TargetMode="External"/><Relationship Id="rId93" Type="http://schemas.openxmlformats.org/officeDocument/2006/relationships/hyperlink" Target="https://blogs.law.columbia.edu/climatechange/2025/10/24/from-eu-framework-to-national-action-how-germany-regulates-data-center-energy-use/" TargetMode="External"/><Relationship Id="rId92" Type="http://schemas.openxmlformats.org/officeDocument/2006/relationships/hyperlink" Target="https://www.globalpolicywatch.com/2025/09/spain-proposes-strict-sustainability-requirements-for-data-centers/" TargetMode="External"/><Relationship Id="rId118" Type="http://schemas.openxmlformats.org/officeDocument/2006/relationships/hyperlink" Target="https://d-nb.info/1373766816/34" TargetMode="External"/><Relationship Id="rId117" Type="http://schemas.openxmlformats.org/officeDocument/2006/relationships/hyperlink" Target="https://www.cambridge.org/core/books/operating-room-leadership-and-perioperative-practice-management/leadership-and-strategy/9EEDCDE8C736FEFF01B2A99FFAC2B477" TargetMode="External"/><Relationship Id="rId116" Type="http://schemas.openxmlformats.org/officeDocument/2006/relationships/hyperlink" Target="https://www.panopto.com/blog/how-to-measure-the-roi-of-training/" TargetMode="External"/><Relationship Id="rId115" Type="http://schemas.openxmlformats.org/officeDocument/2006/relationships/hyperlink" Target="https://quarterdeck.co.uk/articles/leadership-skills-and-team-building" TargetMode="External"/><Relationship Id="rId119" Type="http://schemas.openxmlformats.org/officeDocument/2006/relationships/hyperlink" Target="https://www.flexential.com/resources/blog/best-practices-successful-data-center-migration" TargetMode="External"/><Relationship Id="rId15" Type="http://schemas.openxmlformats.org/officeDocument/2006/relationships/image" Target="media/image49.png"/><Relationship Id="rId110" Type="http://schemas.openxmlformats.org/officeDocument/2006/relationships/hyperlink" Target="https://redjack.com/resources/ensure-digital-operational-resilience" TargetMode="External"/><Relationship Id="rId14" Type="http://schemas.openxmlformats.org/officeDocument/2006/relationships/image" Target="media/image29.png"/><Relationship Id="rId17" Type="http://schemas.openxmlformats.org/officeDocument/2006/relationships/image" Target="media/image40.png"/><Relationship Id="rId16" Type="http://schemas.openxmlformats.org/officeDocument/2006/relationships/image" Target="media/image39.png"/><Relationship Id="rId19" Type="http://schemas.openxmlformats.org/officeDocument/2006/relationships/image" Target="media/image45.png"/><Relationship Id="rId114" Type="http://schemas.openxmlformats.org/officeDocument/2006/relationships/hyperlink" Target="https://www.sps.nyu.edu/connect/custom-educational-programs/lab-for-transformative-leadership.html" TargetMode="External"/><Relationship Id="rId18" Type="http://schemas.openxmlformats.org/officeDocument/2006/relationships/image" Target="media/image47.png"/><Relationship Id="rId113" Type="http://schemas.openxmlformats.org/officeDocument/2006/relationships/hyperlink" Target="https://www.edufellowship.com/blog/multiplier-effect-leadership-trust-engagement-results/" TargetMode="External"/><Relationship Id="rId112" Type="http://schemas.openxmlformats.org/officeDocument/2006/relationships/hyperlink" Target="https://www.mdpi.com/2073-431X/14/7/243" TargetMode="External"/><Relationship Id="rId111" Type="http://schemas.openxmlformats.org/officeDocument/2006/relationships/hyperlink" Target="https://pure.tue.nl/ws/files/76851565/Master_Thesis_Vasanth_Mohanl.pdf" TargetMode="External"/><Relationship Id="rId84" Type="http://schemas.openxmlformats.org/officeDocument/2006/relationships/hyperlink" Target="https://www.port.io/blog/using-an-operational-maturity-model" TargetMode="External"/><Relationship Id="rId83" Type="http://schemas.openxmlformats.org/officeDocument/2006/relationships/hyperlink" Target="https://www.kiteworks.com/top-11-data-breaches-2024-risk-score/" TargetMode="External"/><Relationship Id="rId86" Type="http://schemas.openxmlformats.org/officeDocument/2006/relationships/hyperlink" Target="https://ai-act-service-desk.ec.europa.eu/en/ai-act/article-12" TargetMode="External"/><Relationship Id="rId85" Type="http://schemas.openxmlformats.org/officeDocument/2006/relationships/hyperlink" Target="https://www.amyvetter.com/blog/the-fulfillment-roi" TargetMode="External"/><Relationship Id="rId88" Type="http://schemas.openxmlformats.org/officeDocument/2006/relationships/hyperlink" Target="https://papers.ssrn.com/sol3/Delivery.cfm/SSRN_ID5655090_code8713860.pdf?abstractid=5655090&amp;mirid=1" TargetMode="External"/><Relationship Id="rId87" Type="http://schemas.openxmlformats.org/officeDocument/2006/relationships/hyperlink" Target="https://www.complianceandrisks.com/blog/the-definitive-guide-to-ai-powered-compliance-systems-from-architecture-to-audit/" TargetMode="External"/><Relationship Id="rId89" Type="http://schemas.openxmlformats.org/officeDocument/2006/relationships/hyperlink" Target="https://strobes.co/blog/30-cybersecurity-metrics-kpis/" TargetMode="External"/><Relationship Id="rId80" Type="http://schemas.openxmlformats.org/officeDocument/2006/relationships/hyperlink" Target="https://secureframe.com/blog/risk-analysis-calculation" TargetMode="External"/><Relationship Id="rId82" Type="http://schemas.openxmlformats.org/officeDocument/2006/relationships/hyperlink" Target="https://f7i.ai/blog/the-mtbf-formula-your-strategic-guide-to-unlocking-peak-reliability-in-2025" TargetMode="External"/><Relationship Id="rId81" Type="http://schemas.openxmlformats.org/officeDocument/2006/relationships/hyperlink" Target="https://llumin.com/blog/mean-time-between-failure-formula-and-examples-for-asset-management-ll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30.png"/><Relationship Id="rId8" Type="http://schemas.openxmlformats.org/officeDocument/2006/relationships/image" Target="media/image44.png"/><Relationship Id="rId73" Type="http://schemas.openxmlformats.org/officeDocument/2006/relationships/hyperlink" Target="https://www.mckinsey.com/capabilities/strategy-and-corporate-finance/our-insights/fostering-better-decisions-through-holistic-roi-estimates" TargetMode="External"/><Relationship Id="rId72" Type="http://schemas.openxmlformats.org/officeDocument/2006/relationships/hyperlink" Target="https://www.explic8.com/eu-ai-act-compliance/" TargetMode="External"/><Relationship Id="rId75" Type="http://schemas.openxmlformats.org/officeDocument/2006/relationships/hyperlink" Target="https://www.aon.com/en/insights/articles/cyber-risk-is-the-weak-link-in-data-center-construction" TargetMode="External"/><Relationship Id="rId74" Type="http://schemas.openxmlformats.org/officeDocument/2006/relationships/hyperlink" Target="https://www.sei.cmu.edu/documents/3283/2006_017_001_23991.pdf" TargetMode="External"/><Relationship Id="rId77" Type="http://schemas.openxmlformats.org/officeDocument/2006/relationships/hyperlink" Target="https://www.researchgate.net/publication/305464388_The_Internet_of_Things_a_UKeiG_White_Paper" TargetMode="External"/><Relationship Id="rId76" Type="http://schemas.openxmlformats.org/officeDocument/2006/relationships/hyperlink" Target="https://quarterdeck.co.uk/articles/leadership-skills-benefits" TargetMode="External"/><Relationship Id="rId79" Type="http://schemas.openxmlformats.org/officeDocument/2006/relationships/hyperlink" Target="https://www.riskwatch.com/risk-scoring-methodology/" TargetMode="External"/><Relationship Id="rId78" Type="http://schemas.openxmlformats.org/officeDocument/2006/relationships/hyperlink" Target="https://www.scribd.com/document/554816600/wp-01261-shifting-from-software-to-hardware-for-network-security" TargetMode="External"/><Relationship Id="rId71" Type="http://schemas.openxmlformats.org/officeDocument/2006/relationships/hyperlink" Target="https://www.dlapiper.com/insights/publications/2024/09/new-data-centre-sustainability-reporting-obligations-introduced-through-eu-20241364-regulation" TargetMode="External"/><Relationship Id="rId70" Type="http://schemas.openxmlformats.org/officeDocument/2006/relationships/hyperlink" Target="https://datacenter-forum.ro/en/new-reporting-requirements-for-data-center-operators-introduced-by-the-delegated-regulation-eu-2024-1364/" TargetMode="External"/><Relationship Id="rId132" Type="http://schemas.openxmlformats.org/officeDocument/2006/relationships/hyperlink" Target="https://www.clear-decisions.com/" TargetMode="External"/><Relationship Id="rId131" Type="http://schemas.openxmlformats.org/officeDocument/2006/relationships/hyperlink" Target="https://ideas.repec.org/a/inm/oropre/v67y2019i3p831-852.html" TargetMode="External"/><Relationship Id="rId130" Type="http://schemas.openxmlformats.org/officeDocument/2006/relationships/hyperlink" Target="https://securitydelta.nl/images/deloitte-nl-risk-cyber-value-at-Risk-in-the-Netherlands.pdf" TargetMode="External"/><Relationship Id="rId133" Type="http://schemas.openxmlformats.org/officeDocument/2006/relationships/hyperlink" Target="https://thewestpeak.com/clarity-is-a-leadership-skill-7-ways-to-make-your-thinking-more-contagious/" TargetMode="External"/><Relationship Id="rId62" Type="http://schemas.openxmlformats.org/officeDocument/2006/relationships/hyperlink" Target="https://www.eudca.org/energy-efficiency-directive" TargetMode="External"/><Relationship Id="rId61" Type="http://schemas.openxmlformats.org/officeDocument/2006/relationships/hyperlink" Target="https://www.gov.ie/en/department-of-climate-energy-and-the-environment/publications/data-centre-energy-and-sustainability-performance-reporting-obligations/" TargetMode="External"/><Relationship Id="rId64" Type="http://schemas.openxmlformats.org/officeDocument/2006/relationships/hyperlink" Target="https://energy.ec.europa.eu/news/commission-adopts-eu-wide-scheme-rating-sustainability-data-centres-2024-03-15_en" TargetMode="External"/><Relationship Id="rId63" Type="http://schemas.openxmlformats.org/officeDocument/2006/relationships/hyperlink" Target="https://data.consilium.europa.eu/doc/document/ST-7842-2024-INIT/en/pdf" TargetMode="External"/><Relationship Id="rId66" Type="http://schemas.openxmlformats.org/officeDocument/2006/relationships/hyperlink" Target="https://practical-ai-act.eu/latest/conformity/record-keeping/" TargetMode="External"/><Relationship Id="rId65" Type="http://schemas.openxmlformats.org/officeDocument/2006/relationships/hyperlink" Target="https://newrelic.com/blog/ai/the-eu-artificial-intelligence-act-and-observability" TargetMode="External"/><Relationship Id="rId68" Type="http://schemas.openxmlformats.org/officeDocument/2006/relationships/hyperlink" Target="https://www.isms.online/iso-42001/eu-ai-act/article-12/" TargetMode="External"/><Relationship Id="rId67" Type="http://schemas.openxmlformats.org/officeDocument/2006/relationships/hyperlink" Target="https://aiact.algolia.com/article-12/" TargetMode="External"/><Relationship Id="rId60" Type="http://schemas.openxmlformats.org/officeDocument/2006/relationships/hyperlink" Target="https://baguspermana7-cpu.github.io/bfrfranco.github.io/" TargetMode="External"/><Relationship Id="rId69" Type="http://schemas.openxmlformats.org/officeDocument/2006/relationships/hyperlink" Target="https://dutchitawards.nl/wp-content/uploads/2024/07/EED_E-book_v6.pdf" TargetMode="External"/><Relationship Id="rId51" Type="http://schemas.openxmlformats.org/officeDocument/2006/relationships/image" Target="media/image15.png"/><Relationship Id="rId50" Type="http://schemas.openxmlformats.org/officeDocument/2006/relationships/image" Target="media/image10.png"/><Relationship Id="rId53" Type="http://schemas.openxmlformats.org/officeDocument/2006/relationships/image" Target="media/image24.png"/><Relationship Id="rId52" Type="http://schemas.openxmlformats.org/officeDocument/2006/relationships/image" Target="media/image33.png"/><Relationship Id="rId55" Type="http://schemas.openxmlformats.org/officeDocument/2006/relationships/image" Target="media/image37.png"/><Relationship Id="rId54" Type="http://schemas.openxmlformats.org/officeDocument/2006/relationships/image" Target="media/image31.png"/><Relationship Id="rId57" Type="http://schemas.openxmlformats.org/officeDocument/2006/relationships/hyperlink" Target="https://eur-lex.europa.eu/legal-content/EN/TXT/HTML/?uri=PI_COM:Ares(2023)8478399" TargetMode="External"/><Relationship Id="rId56" Type="http://schemas.openxmlformats.org/officeDocument/2006/relationships/image" Target="media/image36.png"/><Relationship Id="rId59" Type="http://schemas.openxmlformats.org/officeDocument/2006/relationships/hyperlink" Target="https://softenger.com/the-soc-maturity-framework-2026-redefining-compliance-and-audit-readiness/" TargetMode="External"/><Relationship Id="rId58" Type="http://schemas.openxmlformats.org/officeDocument/2006/relationships/hyperlink" Target="https://artificialintelligenceact.eu/article/1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